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12" w:rsidRDefault="007A41A7" w:rsidP="007A41A7">
      <w:pPr>
        <w:rPr>
          <w:rFonts w:ascii="Times New Roman" w:hAnsi="Times New Roman"/>
          <w:b/>
          <w:bCs/>
          <w:sz w:val="24"/>
          <w:szCs w:val="24"/>
        </w:rPr>
      </w:pPr>
      <w:r w:rsidRPr="00197212">
        <w:rPr>
          <w:rFonts w:ascii="Times New Roman" w:hAnsi="Times New Roman"/>
          <w:b/>
          <w:bCs/>
          <w:sz w:val="24"/>
          <w:szCs w:val="24"/>
        </w:rPr>
        <w:t>SVEUČILIŠT</w:t>
      </w:r>
      <w:r w:rsidR="00197212" w:rsidRPr="00197212">
        <w:rPr>
          <w:rFonts w:ascii="Times New Roman" w:hAnsi="Times New Roman"/>
          <w:b/>
          <w:bCs/>
          <w:sz w:val="24"/>
          <w:szCs w:val="24"/>
        </w:rPr>
        <w:t>E U ZAGREBU</w:t>
      </w:r>
    </w:p>
    <w:p w:rsidR="00B55A24" w:rsidRPr="00197212" w:rsidRDefault="00197212" w:rsidP="007A41A7">
      <w:pPr>
        <w:rPr>
          <w:rFonts w:ascii="Times New Roman" w:hAnsi="Times New Roman"/>
          <w:b/>
          <w:bCs/>
          <w:sz w:val="24"/>
          <w:szCs w:val="24"/>
        </w:rPr>
      </w:pPr>
      <w:r w:rsidRPr="00197212">
        <w:rPr>
          <w:rFonts w:ascii="Times New Roman" w:hAnsi="Times New Roman"/>
          <w:b/>
          <w:bCs/>
          <w:sz w:val="24"/>
          <w:szCs w:val="24"/>
        </w:rPr>
        <w:t>STOMATOLOŠKI</w:t>
      </w:r>
      <w:r w:rsidR="00A81F0E" w:rsidRPr="00197212">
        <w:rPr>
          <w:rFonts w:ascii="Times New Roman" w:hAnsi="Times New Roman"/>
          <w:b/>
          <w:bCs/>
          <w:sz w:val="24"/>
          <w:szCs w:val="24"/>
        </w:rPr>
        <w:t xml:space="preserve"> FAKULTET</w:t>
      </w:r>
    </w:p>
    <w:p w:rsidR="00A81F0E" w:rsidRPr="00197212" w:rsidRDefault="00197212" w:rsidP="007A41A7">
      <w:pPr>
        <w:rPr>
          <w:rFonts w:ascii="Times New Roman" w:hAnsi="Times New Roman"/>
          <w:b/>
          <w:bCs/>
          <w:sz w:val="24"/>
          <w:szCs w:val="24"/>
        </w:rPr>
      </w:pPr>
      <w:r w:rsidRPr="00197212">
        <w:rPr>
          <w:rFonts w:ascii="Times New Roman" w:hAnsi="Times New Roman"/>
          <w:b/>
          <w:bCs/>
          <w:sz w:val="24"/>
          <w:szCs w:val="24"/>
        </w:rPr>
        <w:t>GUNDULIĆEVA 5</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10000 ZAGREB</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 xml:space="preserve">OIB: </w:t>
      </w:r>
      <w:r w:rsidR="00197212" w:rsidRPr="00197212">
        <w:rPr>
          <w:rFonts w:ascii="Times New Roman" w:hAnsi="Times New Roman"/>
          <w:b/>
          <w:bCs/>
          <w:sz w:val="24"/>
          <w:szCs w:val="24"/>
        </w:rPr>
        <w:t>70221464726</w:t>
      </w:r>
    </w:p>
    <w:p w:rsidR="00B55A24" w:rsidRPr="00197212" w:rsidRDefault="007A41A7" w:rsidP="00FB7483">
      <w:pPr>
        <w:rPr>
          <w:rFonts w:ascii="Times New Roman" w:hAnsi="Times New Roman"/>
          <w:b/>
          <w:bCs/>
          <w:sz w:val="24"/>
          <w:szCs w:val="24"/>
        </w:rPr>
      </w:pPr>
      <w:r w:rsidRPr="00197212">
        <w:rPr>
          <w:rFonts w:ascii="Times New Roman" w:hAnsi="Times New Roman"/>
          <w:b/>
          <w:bCs/>
          <w:sz w:val="24"/>
          <w:szCs w:val="24"/>
        </w:rPr>
        <w:t>RKP: 018</w:t>
      </w:r>
      <w:r w:rsidR="00197212" w:rsidRPr="00197212">
        <w:rPr>
          <w:rFonts w:ascii="Times New Roman" w:hAnsi="Times New Roman"/>
          <w:b/>
          <w:bCs/>
          <w:sz w:val="24"/>
          <w:szCs w:val="24"/>
        </w:rPr>
        <w:t>70</w:t>
      </w:r>
    </w:p>
    <w:p w:rsidR="00B55A24" w:rsidRDefault="00B55A24" w:rsidP="00A81F0E">
      <w:pPr>
        <w:rPr>
          <w:rFonts w:ascii="Times New Roman" w:hAnsi="Times New Roman"/>
          <w:b/>
          <w:bCs/>
          <w:sz w:val="24"/>
          <w:szCs w:val="24"/>
        </w:rPr>
      </w:pPr>
    </w:p>
    <w:p w:rsidR="00D02E80" w:rsidRPr="00197212" w:rsidRDefault="00D02E80" w:rsidP="00A81F0E">
      <w:pP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649" w:rsidRDefault="006D72EE" w:rsidP="00B55649">
      <w:pPr>
        <w:jc w:val="center"/>
        <w:rPr>
          <w:rFonts w:ascii="Times New Roman" w:hAnsi="Times New Roman"/>
          <w:b/>
          <w:bCs/>
          <w:sz w:val="24"/>
          <w:szCs w:val="24"/>
        </w:rPr>
      </w:pPr>
      <w:r>
        <w:rPr>
          <w:rFonts w:ascii="Times New Roman" w:hAnsi="Times New Roman"/>
          <w:b/>
          <w:bCs/>
          <w:sz w:val="24"/>
          <w:szCs w:val="24"/>
        </w:rPr>
        <w:t>OBRAZLOŽENJE POSEBNOG</w:t>
      </w:r>
      <w:r w:rsidR="00B55A24" w:rsidRPr="00197212">
        <w:rPr>
          <w:rFonts w:ascii="Times New Roman" w:hAnsi="Times New Roman"/>
          <w:b/>
          <w:bCs/>
          <w:sz w:val="24"/>
          <w:szCs w:val="24"/>
        </w:rPr>
        <w:t xml:space="preserve"> DIJELA </w:t>
      </w:r>
      <w:r w:rsidR="00D332E1">
        <w:rPr>
          <w:rFonts w:ascii="Times New Roman" w:hAnsi="Times New Roman"/>
          <w:b/>
          <w:bCs/>
          <w:sz w:val="24"/>
          <w:szCs w:val="24"/>
        </w:rPr>
        <w:t>IZVJEŠTAJA O IZVRŠENJU</w:t>
      </w:r>
      <w:r w:rsidR="00811FDE">
        <w:rPr>
          <w:rFonts w:ascii="Times New Roman" w:hAnsi="Times New Roman"/>
          <w:b/>
          <w:bCs/>
          <w:sz w:val="24"/>
          <w:szCs w:val="24"/>
        </w:rPr>
        <w:t xml:space="preserve"> </w:t>
      </w:r>
      <w:r w:rsidR="00B55A24" w:rsidRPr="00197212">
        <w:rPr>
          <w:rFonts w:ascii="Times New Roman" w:hAnsi="Times New Roman"/>
          <w:b/>
          <w:bCs/>
          <w:sz w:val="24"/>
          <w:szCs w:val="24"/>
        </w:rPr>
        <w:t xml:space="preserve">FINANCIJSKOG PLANA ZA </w:t>
      </w:r>
      <w:r w:rsidR="001E6487">
        <w:rPr>
          <w:rFonts w:ascii="Times New Roman" w:hAnsi="Times New Roman"/>
          <w:b/>
          <w:bCs/>
          <w:sz w:val="24"/>
          <w:szCs w:val="24"/>
        </w:rPr>
        <w:t>2025</w:t>
      </w:r>
      <w:r w:rsidR="00D332E1">
        <w:rPr>
          <w:rFonts w:ascii="Times New Roman" w:hAnsi="Times New Roman"/>
          <w:b/>
          <w:bCs/>
          <w:sz w:val="24"/>
          <w:szCs w:val="24"/>
        </w:rPr>
        <w:t>.</w:t>
      </w:r>
      <w:r w:rsidR="00FB7483">
        <w:rPr>
          <w:rFonts w:ascii="Times New Roman" w:hAnsi="Times New Roman"/>
          <w:b/>
          <w:bCs/>
          <w:sz w:val="24"/>
          <w:szCs w:val="24"/>
        </w:rPr>
        <w:t xml:space="preserve"> GODINU</w:t>
      </w:r>
    </w:p>
    <w:p w:rsidR="00D02E80" w:rsidRDefault="00D02E80" w:rsidP="00B55649">
      <w:pPr>
        <w:jc w:val="center"/>
        <w:rPr>
          <w:rFonts w:ascii="Times New Roman" w:hAnsi="Times New Roman"/>
          <w:b/>
          <w:bCs/>
          <w:sz w:val="24"/>
          <w:szCs w:val="24"/>
        </w:rPr>
      </w:pPr>
    </w:p>
    <w:p w:rsidR="00B55649" w:rsidRDefault="00B55649" w:rsidP="00B55649">
      <w:pPr>
        <w:jc w:val="center"/>
        <w:rPr>
          <w:rFonts w:ascii="Times New Roman" w:hAnsi="Times New Roman"/>
          <w:b/>
          <w:bCs/>
          <w:sz w:val="24"/>
          <w:szCs w:val="24"/>
        </w:rPr>
      </w:pPr>
    </w:p>
    <w:p w:rsidR="00D8012F" w:rsidRPr="00D8012F" w:rsidRDefault="00D8012F" w:rsidP="00D8012F">
      <w:pPr>
        <w:jc w:val="both"/>
        <w:rPr>
          <w:rFonts w:ascii="Times New Roman" w:hAnsi="Times New Roman"/>
          <w:bCs/>
          <w:sz w:val="24"/>
          <w:szCs w:val="24"/>
        </w:rPr>
      </w:pPr>
      <w:r w:rsidRPr="00D8012F">
        <w:rPr>
          <w:rFonts w:ascii="Times New Roman" w:hAnsi="Times New Roman"/>
          <w:bCs/>
          <w:sz w:val="24"/>
          <w:szCs w:val="24"/>
        </w:rPr>
        <w:t>Izrada godišnjeg izvještaja o izvršenju financijskog plana za razdoblje 1.1.2025. - 31.12.2025. godine polazi od sljedećih pravnih akata:</w:t>
      </w:r>
    </w:p>
    <w:p w:rsidR="00D8012F" w:rsidRDefault="00D8012F" w:rsidP="00D8012F">
      <w:pPr>
        <w:jc w:val="both"/>
        <w:rPr>
          <w:rFonts w:ascii="Times New Roman" w:hAnsi="Times New Roman"/>
          <w:bCs/>
          <w:sz w:val="24"/>
          <w:szCs w:val="24"/>
        </w:rPr>
      </w:pPr>
      <w:r w:rsidRPr="00D8012F">
        <w:rPr>
          <w:rFonts w:ascii="Times New Roman" w:hAnsi="Times New Roman"/>
          <w:bCs/>
          <w:sz w:val="24"/>
          <w:szCs w:val="24"/>
        </w:rPr>
        <w:t xml:space="preserve">prema čl.52 st.7 </w:t>
      </w:r>
      <w:r w:rsidRPr="00D8012F">
        <w:rPr>
          <w:rFonts w:ascii="Times New Roman" w:hAnsi="Times New Roman"/>
          <w:bCs/>
          <w:i/>
          <w:iCs/>
          <w:sz w:val="24"/>
          <w:szCs w:val="24"/>
        </w:rPr>
        <w:t>Pravilnika o polugodišnjem i godišnjem izvještaju o izvršenju proračuna i financijskog plana (NN 85/23 - Pravilnik)</w:t>
      </w:r>
      <w:r w:rsidRPr="00D8012F">
        <w:rPr>
          <w:rFonts w:ascii="Times New Roman" w:hAnsi="Times New Roman"/>
          <w:bCs/>
          <w:sz w:val="24"/>
          <w:szCs w:val="24"/>
        </w:rPr>
        <w:t xml:space="preserve"> </w:t>
      </w:r>
      <w:r w:rsidRPr="00D8012F">
        <w:rPr>
          <w:rFonts w:ascii="Times New Roman" w:hAnsi="Times New Roman"/>
          <w:b/>
          <w:bCs/>
          <w:sz w:val="24"/>
          <w:szCs w:val="24"/>
        </w:rPr>
        <w:t>proračunski k</w:t>
      </w:r>
      <w:r w:rsidR="00EC4F92">
        <w:rPr>
          <w:rFonts w:ascii="Times New Roman" w:hAnsi="Times New Roman"/>
          <w:b/>
          <w:bCs/>
          <w:sz w:val="24"/>
          <w:szCs w:val="24"/>
        </w:rPr>
        <w:t xml:space="preserve">orisnici Ministarstva znanosti, </w:t>
      </w:r>
      <w:r w:rsidRPr="00D8012F">
        <w:rPr>
          <w:rFonts w:ascii="Times New Roman" w:hAnsi="Times New Roman"/>
          <w:b/>
          <w:bCs/>
          <w:sz w:val="24"/>
          <w:szCs w:val="24"/>
        </w:rPr>
        <w:t xml:space="preserve"> obrazovanja</w:t>
      </w:r>
      <w:r w:rsidR="00EC4F92">
        <w:rPr>
          <w:rFonts w:ascii="Times New Roman" w:hAnsi="Times New Roman"/>
          <w:b/>
          <w:bCs/>
          <w:sz w:val="24"/>
          <w:szCs w:val="24"/>
        </w:rPr>
        <w:t xml:space="preserve"> i mladih</w:t>
      </w:r>
      <w:bookmarkStart w:id="0" w:name="_GoBack"/>
      <w:bookmarkEnd w:id="0"/>
      <w:r w:rsidRPr="00D8012F">
        <w:rPr>
          <w:rFonts w:ascii="Times New Roman" w:hAnsi="Times New Roman"/>
          <w:bCs/>
          <w:sz w:val="24"/>
          <w:szCs w:val="24"/>
        </w:rPr>
        <w:t xml:space="preserve"> (u daljnjem tekstu: Ministarstvo) </w:t>
      </w:r>
      <w:r w:rsidRPr="00D8012F">
        <w:rPr>
          <w:rFonts w:ascii="Times New Roman" w:hAnsi="Times New Roman"/>
          <w:b/>
          <w:bCs/>
          <w:sz w:val="24"/>
          <w:szCs w:val="24"/>
        </w:rPr>
        <w:t>dužni su upravljačkom tijelu dostaviti na usvajanje prijedlog godišnjeg izvještaja o izvršenju financijskog plana za 2025. godinu do 31. ožujka 2026. godine nakon čega se dostavlja Ministarstvu.</w:t>
      </w:r>
      <w:r w:rsidRPr="00D8012F">
        <w:rPr>
          <w:rFonts w:ascii="Times New Roman" w:hAnsi="Times New Roman"/>
          <w:bCs/>
          <w:sz w:val="24"/>
          <w:szCs w:val="24"/>
        </w:rPr>
        <w:t xml:space="preserve"> </w:t>
      </w:r>
    </w:p>
    <w:p w:rsidR="00D8012F" w:rsidRPr="00D8012F" w:rsidRDefault="00D8012F" w:rsidP="00D8012F">
      <w:pPr>
        <w:jc w:val="both"/>
        <w:rPr>
          <w:rFonts w:ascii="Times New Roman" w:hAnsi="Times New Roman"/>
          <w:bCs/>
          <w:sz w:val="24"/>
          <w:szCs w:val="24"/>
        </w:rPr>
      </w:pPr>
    </w:p>
    <w:p w:rsidR="00D8012F" w:rsidRPr="00D8012F" w:rsidRDefault="00D8012F" w:rsidP="00D8012F">
      <w:pPr>
        <w:jc w:val="both"/>
        <w:rPr>
          <w:rFonts w:ascii="Times New Roman" w:hAnsi="Times New Roman"/>
          <w:bCs/>
          <w:sz w:val="24"/>
          <w:szCs w:val="24"/>
        </w:rPr>
      </w:pPr>
      <w:r w:rsidRPr="00D8012F">
        <w:rPr>
          <w:rFonts w:ascii="Times New Roman" w:hAnsi="Times New Roman"/>
          <w:bCs/>
          <w:sz w:val="24"/>
          <w:szCs w:val="24"/>
        </w:rPr>
        <w:t>Sukladno čl. 81 – 87. Zakona o proračunu (NN 144/21) polugodišnji i godišnji izvještaj o izvršenju financijskog plana proračunskog i izvanproračunskog korisnika sadrži opći i posebni dio, obrazloženje i posebne izvještaje.</w:t>
      </w:r>
    </w:p>
    <w:p w:rsidR="00FB7E0F" w:rsidRPr="00C312C7" w:rsidRDefault="00FB7E0F" w:rsidP="000B0038">
      <w:pPr>
        <w:jc w:val="both"/>
        <w:rPr>
          <w:rFonts w:ascii="Times New Roman" w:hAnsi="Times New Roman"/>
          <w:b/>
          <w:bCs/>
          <w:sz w:val="24"/>
          <w:szCs w:val="24"/>
        </w:rPr>
      </w:pPr>
    </w:p>
    <w:p w:rsidR="000B0038" w:rsidRDefault="000B0038" w:rsidP="000B0038">
      <w:pPr>
        <w:jc w:val="both"/>
        <w:rPr>
          <w:rFonts w:ascii="Times New Roman" w:hAnsi="Times New Roman"/>
          <w:b/>
          <w:bCs/>
          <w:sz w:val="24"/>
          <w:szCs w:val="24"/>
        </w:rPr>
      </w:pPr>
      <w:r w:rsidRPr="00C312C7">
        <w:rPr>
          <w:rFonts w:ascii="Times New Roman" w:hAnsi="Times New Roman"/>
          <w:b/>
          <w:bCs/>
          <w:sz w:val="24"/>
          <w:szCs w:val="24"/>
        </w:rPr>
        <w:t>A621001 Redovna djelatnost Sveučilišta u Zagrebu</w:t>
      </w:r>
    </w:p>
    <w:p w:rsidR="00B55649" w:rsidRPr="008F7C0B" w:rsidRDefault="00B55649" w:rsidP="000B0038">
      <w:pPr>
        <w:jc w:val="both"/>
        <w:rPr>
          <w:rFonts w:ascii="Times New Roman" w:hAnsi="Times New Roman"/>
          <w:b/>
          <w:bCs/>
          <w:sz w:val="24"/>
          <w:szCs w:val="24"/>
        </w:rPr>
      </w:pPr>
    </w:p>
    <w:tbl>
      <w:tblPr>
        <w:tblW w:w="5467" w:type="dxa"/>
        <w:tblInd w:w="108" w:type="dxa"/>
        <w:tblLook w:val="04A0" w:firstRow="1" w:lastRow="0" w:firstColumn="1" w:lastColumn="0" w:noHBand="0" w:noVBand="1"/>
      </w:tblPr>
      <w:tblGrid>
        <w:gridCol w:w="1110"/>
        <w:gridCol w:w="1596"/>
        <w:gridCol w:w="1596"/>
        <w:gridCol w:w="1589"/>
      </w:tblGrid>
      <w:tr w:rsidR="00C312C7" w:rsidRPr="00C312C7" w:rsidTr="00FB7E0F">
        <w:trPr>
          <w:trHeight w:val="735"/>
        </w:trPr>
        <w:tc>
          <w:tcPr>
            <w:tcW w:w="11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B7E0F" w:rsidRPr="00C312C7" w:rsidRDefault="00FB7E0F" w:rsidP="000B0038">
            <w:pPr>
              <w:jc w:val="both"/>
              <w:rPr>
                <w:rFonts w:ascii="Times New Roman" w:hAnsi="Times New Roman"/>
                <w:sz w:val="24"/>
                <w:szCs w:val="24"/>
              </w:rPr>
            </w:pP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FB7E0F" w:rsidRPr="00C312C7" w:rsidRDefault="001E6487" w:rsidP="000B0038">
            <w:pPr>
              <w:jc w:val="both"/>
              <w:rPr>
                <w:rFonts w:ascii="Times New Roman" w:hAnsi="Times New Roman"/>
                <w:sz w:val="24"/>
                <w:szCs w:val="24"/>
              </w:rPr>
            </w:pPr>
            <w:r>
              <w:rPr>
                <w:rFonts w:ascii="Times New Roman" w:hAnsi="Times New Roman"/>
                <w:sz w:val="24"/>
                <w:szCs w:val="24"/>
              </w:rPr>
              <w:t>Plan 2025</w:t>
            </w:r>
            <w:r w:rsidR="00FB7E0F" w:rsidRPr="00C312C7">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FB7E0F" w:rsidRPr="00C312C7" w:rsidRDefault="001E6487" w:rsidP="000B0038">
            <w:pPr>
              <w:jc w:val="both"/>
              <w:rPr>
                <w:rFonts w:ascii="Times New Roman" w:hAnsi="Times New Roman"/>
                <w:sz w:val="24"/>
                <w:szCs w:val="24"/>
              </w:rPr>
            </w:pPr>
            <w:r>
              <w:rPr>
                <w:rFonts w:ascii="Times New Roman" w:hAnsi="Times New Roman"/>
                <w:sz w:val="24"/>
                <w:szCs w:val="24"/>
              </w:rPr>
              <w:t>Izvršenje 2025</w:t>
            </w:r>
            <w:r w:rsidR="00FB7E0F" w:rsidRPr="00C312C7">
              <w:rPr>
                <w:rFonts w:ascii="Times New Roman" w:hAnsi="Times New Roman"/>
                <w:sz w:val="24"/>
                <w:szCs w:val="24"/>
              </w:rPr>
              <w:t>.</w:t>
            </w:r>
          </w:p>
        </w:tc>
        <w:tc>
          <w:tcPr>
            <w:tcW w:w="1117" w:type="dxa"/>
            <w:tcBorders>
              <w:top w:val="single" w:sz="4" w:space="0" w:color="auto"/>
              <w:left w:val="nil"/>
              <w:bottom w:val="single" w:sz="4" w:space="0" w:color="auto"/>
              <w:right w:val="single" w:sz="4" w:space="0" w:color="auto"/>
            </w:tcBorders>
            <w:shd w:val="clear" w:color="000000" w:fill="D9D9D9"/>
            <w:noWrap/>
            <w:vAlign w:val="center"/>
            <w:hideMark/>
          </w:tcPr>
          <w:p w:rsidR="00FB7E0F" w:rsidRPr="00C312C7" w:rsidRDefault="001E6487" w:rsidP="00FB7E0F">
            <w:pPr>
              <w:jc w:val="both"/>
              <w:rPr>
                <w:rFonts w:ascii="Times New Roman" w:hAnsi="Times New Roman"/>
                <w:sz w:val="24"/>
                <w:szCs w:val="24"/>
              </w:rPr>
            </w:pPr>
            <w:r>
              <w:rPr>
                <w:rFonts w:ascii="Times New Roman" w:hAnsi="Times New Roman"/>
                <w:sz w:val="24"/>
                <w:szCs w:val="24"/>
              </w:rPr>
              <w:t>Indeks Izvršenje/Plan 2025</w:t>
            </w:r>
            <w:r w:rsidR="00FB7E0F" w:rsidRPr="00C312C7">
              <w:rPr>
                <w:rFonts w:ascii="Times New Roman" w:hAnsi="Times New Roman"/>
                <w:sz w:val="24"/>
                <w:szCs w:val="24"/>
              </w:rPr>
              <w:t>.</w:t>
            </w:r>
          </w:p>
        </w:tc>
      </w:tr>
      <w:tr w:rsidR="00FB7E0F" w:rsidRPr="00C312C7" w:rsidTr="00FB7E0F">
        <w:trPr>
          <w:trHeight w:val="480"/>
        </w:trPr>
        <w:tc>
          <w:tcPr>
            <w:tcW w:w="1158" w:type="dxa"/>
            <w:tcBorders>
              <w:top w:val="nil"/>
              <w:left w:val="single" w:sz="4" w:space="0" w:color="auto"/>
              <w:bottom w:val="single" w:sz="4" w:space="0" w:color="auto"/>
              <w:right w:val="single" w:sz="4" w:space="0" w:color="auto"/>
            </w:tcBorders>
            <w:shd w:val="clear" w:color="auto" w:fill="auto"/>
            <w:vAlign w:val="bottom"/>
            <w:hideMark/>
          </w:tcPr>
          <w:p w:rsidR="00FB7E0F" w:rsidRPr="00C312C7" w:rsidRDefault="00FB7E0F" w:rsidP="000B0038">
            <w:pPr>
              <w:jc w:val="both"/>
              <w:rPr>
                <w:rFonts w:ascii="Times New Roman" w:hAnsi="Times New Roman"/>
                <w:sz w:val="24"/>
                <w:szCs w:val="24"/>
              </w:rPr>
            </w:pPr>
            <w:r w:rsidRPr="00C312C7">
              <w:rPr>
                <w:rFonts w:ascii="Times New Roman" w:hAnsi="Times New Roman"/>
                <w:sz w:val="24"/>
                <w:szCs w:val="24"/>
              </w:rPr>
              <w:t>A621001</w:t>
            </w:r>
          </w:p>
        </w:tc>
        <w:tc>
          <w:tcPr>
            <w:tcW w:w="1596" w:type="dxa"/>
            <w:tcBorders>
              <w:top w:val="nil"/>
              <w:left w:val="nil"/>
              <w:bottom w:val="single" w:sz="4" w:space="0" w:color="auto"/>
              <w:right w:val="single" w:sz="4" w:space="0" w:color="auto"/>
            </w:tcBorders>
            <w:shd w:val="clear" w:color="auto" w:fill="auto"/>
            <w:noWrap/>
            <w:vAlign w:val="bottom"/>
          </w:tcPr>
          <w:p w:rsidR="00FB7E0F" w:rsidRPr="00C312C7" w:rsidRDefault="00CB4EEF" w:rsidP="000B0038">
            <w:pPr>
              <w:jc w:val="both"/>
              <w:rPr>
                <w:rFonts w:ascii="Times New Roman" w:hAnsi="Times New Roman"/>
                <w:sz w:val="24"/>
                <w:szCs w:val="24"/>
              </w:rPr>
            </w:pPr>
            <w:r>
              <w:rPr>
                <w:rFonts w:ascii="Times New Roman" w:hAnsi="Times New Roman"/>
                <w:sz w:val="24"/>
                <w:szCs w:val="24"/>
              </w:rPr>
              <w:t>8.120.674</w:t>
            </w:r>
            <w:r w:rsidR="008F7C0B">
              <w:rPr>
                <w:rFonts w:ascii="Times New Roman" w:hAnsi="Times New Roman"/>
                <w:sz w:val="24"/>
                <w:szCs w:val="24"/>
              </w:rPr>
              <w:t>,00</w:t>
            </w:r>
          </w:p>
        </w:tc>
        <w:tc>
          <w:tcPr>
            <w:tcW w:w="1596" w:type="dxa"/>
            <w:tcBorders>
              <w:top w:val="nil"/>
              <w:left w:val="nil"/>
              <w:bottom w:val="single" w:sz="4" w:space="0" w:color="auto"/>
              <w:right w:val="single" w:sz="4" w:space="0" w:color="auto"/>
            </w:tcBorders>
            <w:shd w:val="clear" w:color="auto" w:fill="auto"/>
            <w:noWrap/>
            <w:vAlign w:val="bottom"/>
          </w:tcPr>
          <w:p w:rsidR="00FB7E0F" w:rsidRPr="00C312C7" w:rsidRDefault="00FD1A25" w:rsidP="000B0038">
            <w:pPr>
              <w:jc w:val="both"/>
              <w:rPr>
                <w:rFonts w:ascii="Times New Roman" w:hAnsi="Times New Roman"/>
                <w:sz w:val="24"/>
                <w:szCs w:val="24"/>
              </w:rPr>
            </w:pPr>
            <w:r>
              <w:rPr>
                <w:rFonts w:ascii="Times New Roman" w:hAnsi="Times New Roman"/>
                <w:sz w:val="24"/>
                <w:szCs w:val="24"/>
              </w:rPr>
              <w:t>7.987.930,60</w:t>
            </w:r>
          </w:p>
        </w:tc>
        <w:tc>
          <w:tcPr>
            <w:tcW w:w="1117" w:type="dxa"/>
            <w:tcBorders>
              <w:top w:val="nil"/>
              <w:left w:val="nil"/>
              <w:bottom w:val="single" w:sz="4" w:space="0" w:color="auto"/>
              <w:right w:val="single" w:sz="4" w:space="0" w:color="auto"/>
            </w:tcBorders>
            <w:shd w:val="clear" w:color="auto" w:fill="auto"/>
            <w:noWrap/>
            <w:vAlign w:val="bottom"/>
          </w:tcPr>
          <w:p w:rsidR="00FB7E0F" w:rsidRPr="00C312C7" w:rsidRDefault="00FD1A25" w:rsidP="000B0038">
            <w:pPr>
              <w:jc w:val="both"/>
              <w:rPr>
                <w:rFonts w:ascii="Times New Roman" w:hAnsi="Times New Roman"/>
                <w:sz w:val="24"/>
                <w:szCs w:val="24"/>
              </w:rPr>
            </w:pPr>
            <w:r>
              <w:rPr>
                <w:rFonts w:ascii="Times New Roman" w:hAnsi="Times New Roman"/>
                <w:sz w:val="24"/>
                <w:szCs w:val="24"/>
              </w:rPr>
              <w:t>97,26</w:t>
            </w:r>
          </w:p>
        </w:tc>
      </w:tr>
    </w:tbl>
    <w:p w:rsidR="00B55649" w:rsidRDefault="00B55649" w:rsidP="00E01A7B">
      <w:pPr>
        <w:spacing w:line="276" w:lineRule="auto"/>
        <w:jc w:val="both"/>
        <w:rPr>
          <w:rFonts w:ascii="Times New Roman" w:hAnsi="Times New Roman"/>
          <w:bCs/>
          <w:sz w:val="24"/>
          <w:szCs w:val="24"/>
        </w:rPr>
      </w:pPr>
    </w:p>
    <w:p w:rsidR="00271823" w:rsidRPr="00C312C7" w:rsidRDefault="00E01A7B" w:rsidP="00E01A7B">
      <w:pPr>
        <w:spacing w:line="276" w:lineRule="auto"/>
        <w:jc w:val="both"/>
        <w:rPr>
          <w:rFonts w:ascii="Times New Roman" w:eastAsia="Calibri" w:hAnsi="Times New Roman"/>
          <w:bCs/>
          <w:sz w:val="24"/>
          <w:szCs w:val="24"/>
        </w:rPr>
      </w:pPr>
      <w:r w:rsidRPr="00C312C7">
        <w:rPr>
          <w:rFonts w:ascii="Times New Roman" w:hAnsi="Times New Roman"/>
          <w:bCs/>
          <w:sz w:val="24"/>
          <w:szCs w:val="24"/>
        </w:rPr>
        <w:t>Ova aktivnost provodi se svake godine iz izvora financiranja 11 Opći prihodi i primici. Aktivnosti se odnose na planiranje rashoda za zaposlene na teret državnog proračuna te dijela materijalnih rashoda koji se financiraju iz državnog proračuna. Sredstva su planirana na temelju zadanih limita od Ministarstva znanosti i obrazovanja</w:t>
      </w:r>
      <w:r w:rsidR="00BC7BF5" w:rsidRPr="00C312C7">
        <w:rPr>
          <w:rFonts w:ascii="Times New Roman" w:hAnsi="Times New Roman"/>
          <w:bCs/>
          <w:sz w:val="24"/>
          <w:szCs w:val="24"/>
        </w:rPr>
        <w:t xml:space="preserve">, </w:t>
      </w:r>
      <w:r w:rsidR="00FB7E0F" w:rsidRPr="00C312C7">
        <w:rPr>
          <w:rFonts w:ascii="Times New Roman" w:hAnsi="Times New Roman"/>
          <w:bCs/>
          <w:sz w:val="24"/>
          <w:szCs w:val="24"/>
        </w:rPr>
        <w:t>odnosno limit</w:t>
      </w:r>
      <w:r w:rsidR="00EB760B" w:rsidRPr="00C312C7">
        <w:rPr>
          <w:rFonts w:ascii="Times New Roman" w:hAnsi="Times New Roman"/>
          <w:bCs/>
          <w:sz w:val="24"/>
          <w:szCs w:val="24"/>
        </w:rPr>
        <w:t>a</w:t>
      </w:r>
      <w:r w:rsidR="00FB7E0F" w:rsidRPr="00C312C7">
        <w:rPr>
          <w:rFonts w:ascii="Times New Roman" w:hAnsi="Times New Roman"/>
          <w:bCs/>
          <w:sz w:val="24"/>
          <w:szCs w:val="24"/>
        </w:rPr>
        <w:t xml:space="preserve"> od </w:t>
      </w:r>
      <w:r w:rsidR="000575E5" w:rsidRPr="00C312C7">
        <w:rPr>
          <w:rFonts w:ascii="Times New Roman" w:hAnsi="Times New Roman"/>
          <w:bCs/>
          <w:sz w:val="24"/>
          <w:szCs w:val="24"/>
        </w:rPr>
        <w:t xml:space="preserve">strane Sveučilišta u Zagrebu. </w:t>
      </w:r>
    </w:p>
    <w:p w:rsidR="00271823" w:rsidRPr="00C312C7" w:rsidRDefault="00271823" w:rsidP="000B0038">
      <w:pPr>
        <w:jc w:val="both"/>
        <w:rPr>
          <w:rFonts w:ascii="Times New Roman" w:hAnsi="Times New Roman"/>
          <w:bCs/>
          <w:sz w:val="24"/>
          <w:szCs w:val="24"/>
        </w:rPr>
      </w:pPr>
    </w:p>
    <w:p w:rsidR="000B0038" w:rsidRDefault="00E66CA6" w:rsidP="000B0038">
      <w:pPr>
        <w:jc w:val="both"/>
        <w:rPr>
          <w:rFonts w:ascii="Times New Roman" w:hAnsi="Times New Roman"/>
          <w:b/>
          <w:bCs/>
          <w:sz w:val="24"/>
          <w:szCs w:val="24"/>
        </w:rPr>
      </w:pPr>
      <w:r w:rsidRPr="00C312C7">
        <w:rPr>
          <w:rFonts w:ascii="Times New Roman" w:hAnsi="Times New Roman"/>
          <w:b/>
          <w:bCs/>
          <w:sz w:val="24"/>
          <w:szCs w:val="24"/>
        </w:rPr>
        <w:t>A622122 Programsko financiranje javnih visokih učilišta</w:t>
      </w:r>
    </w:p>
    <w:p w:rsidR="00B55649" w:rsidRPr="00C312C7" w:rsidRDefault="00B55649" w:rsidP="000B0038">
      <w:pPr>
        <w:jc w:val="both"/>
        <w:rPr>
          <w:rFonts w:ascii="Times New Roman" w:hAnsi="Times New Roman"/>
          <w:bCs/>
          <w:sz w:val="24"/>
          <w:szCs w:val="24"/>
        </w:rPr>
      </w:pPr>
    </w:p>
    <w:tbl>
      <w:tblPr>
        <w:tblW w:w="5954" w:type="dxa"/>
        <w:tblInd w:w="108" w:type="dxa"/>
        <w:tblLook w:val="04A0" w:firstRow="1" w:lastRow="0" w:firstColumn="1" w:lastColumn="0" w:noHBand="0" w:noVBand="1"/>
      </w:tblPr>
      <w:tblGrid>
        <w:gridCol w:w="1150"/>
        <w:gridCol w:w="1529"/>
        <w:gridCol w:w="1616"/>
        <w:gridCol w:w="1659"/>
      </w:tblGrid>
      <w:tr w:rsidR="00C312C7" w:rsidRPr="00C312C7" w:rsidTr="00632C20">
        <w:trPr>
          <w:trHeight w:val="944"/>
        </w:trPr>
        <w:tc>
          <w:tcPr>
            <w:tcW w:w="11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71CAC" w:rsidRPr="00C312C7" w:rsidRDefault="00A71CAC" w:rsidP="000B0038">
            <w:pPr>
              <w:jc w:val="both"/>
              <w:rPr>
                <w:rFonts w:ascii="Times New Roman" w:hAnsi="Times New Roman"/>
                <w:sz w:val="24"/>
                <w:szCs w:val="24"/>
              </w:rPr>
            </w:pPr>
          </w:p>
        </w:tc>
        <w:tc>
          <w:tcPr>
            <w:tcW w:w="1529" w:type="dxa"/>
            <w:tcBorders>
              <w:top w:val="single" w:sz="4" w:space="0" w:color="auto"/>
              <w:left w:val="nil"/>
              <w:bottom w:val="single" w:sz="4" w:space="0" w:color="auto"/>
              <w:right w:val="single" w:sz="4" w:space="0" w:color="auto"/>
            </w:tcBorders>
            <w:shd w:val="clear" w:color="000000" w:fill="D9D9D9"/>
            <w:noWrap/>
            <w:vAlign w:val="center"/>
            <w:hideMark/>
          </w:tcPr>
          <w:p w:rsidR="00A71CAC" w:rsidRPr="00C312C7" w:rsidRDefault="001E6487" w:rsidP="000B0038">
            <w:pPr>
              <w:jc w:val="both"/>
              <w:rPr>
                <w:rFonts w:ascii="Times New Roman" w:hAnsi="Times New Roman"/>
                <w:sz w:val="24"/>
                <w:szCs w:val="24"/>
              </w:rPr>
            </w:pPr>
            <w:r>
              <w:rPr>
                <w:rFonts w:ascii="Times New Roman" w:hAnsi="Times New Roman"/>
                <w:sz w:val="24"/>
                <w:szCs w:val="24"/>
              </w:rPr>
              <w:t>Plan 2025</w:t>
            </w:r>
            <w:r w:rsidR="00A71CAC" w:rsidRPr="00C312C7">
              <w:rPr>
                <w:rFonts w:ascii="Times New Roman" w:hAnsi="Times New Roman"/>
                <w:sz w:val="24"/>
                <w:szCs w:val="24"/>
              </w:rPr>
              <w:t>.</w:t>
            </w:r>
          </w:p>
        </w:tc>
        <w:tc>
          <w:tcPr>
            <w:tcW w:w="1616" w:type="dxa"/>
            <w:tcBorders>
              <w:top w:val="single" w:sz="4" w:space="0" w:color="auto"/>
              <w:left w:val="nil"/>
              <w:bottom w:val="single" w:sz="4" w:space="0" w:color="auto"/>
              <w:right w:val="single" w:sz="4" w:space="0" w:color="auto"/>
            </w:tcBorders>
            <w:shd w:val="clear" w:color="000000" w:fill="D9D9D9"/>
            <w:noWrap/>
            <w:vAlign w:val="center"/>
            <w:hideMark/>
          </w:tcPr>
          <w:p w:rsidR="00A71CAC" w:rsidRPr="00C312C7" w:rsidRDefault="001E6487" w:rsidP="000B0038">
            <w:pPr>
              <w:jc w:val="both"/>
              <w:rPr>
                <w:rFonts w:ascii="Times New Roman" w:hAnsi="Times New Roman"/>
                <w:sz w:val="24"/>
                <w:szCs w:val="24"/>
              </w:rPr>
            </w:pPr>
            <w:r>
              <w:rPr>
                <w:rFonts w:ascii="Times New Roman" w:hAnsi="Times New Roman"/>
                <w:sz w:val="24"/>
                <w:szCs w:val="24"/>
              </w:rPr>
              <w:t>Izvršenje 2025</w:t>
            </w:r>
            <w:r w:rsidR="00EB760B" w:rsidRPr="00C312C7">
              <w:rPr>
                <w:rFonts w:ascii="Times New Roman" w:hAnsi="Times New Roman"/>
                <w:sz w:val="24"/>
                <w:szCs w:val="24"/>
              </w:rPr>
              <w:t>.</w:t>
            </w:r>
          </w:p>
        </w:tc>
        <w:tc>
          <w:tcPr>
            <w:tcW w:w="1659" w:type="dxa"/>
            <w:tcBorders>
              <w:top w:val="single" w:sz="4" w:space="0" w:color="auto"/>
              <w:left w:val="nil"/>
              <w:bottom w:val="single" w:sz="4" w:space="0" w:color="auto"/>
              <w:right w:val="single" w:sz="4" w:space="0" w:color="auto"/>
            </w:tcBorders>
            <w:shd w:val="clear" w:color="000000" w:fill="D9D9D9"/>
            <w:noWrap/>
            <w:vAlign w:val="center"/>
            <w:hideMark/>
          </w:tcPr>
          <w:p w:rsidR="00A71CAC" w:rsidRPr="00C312C7" w:rsidRDefault="001E6487" w:rsidP="00A71CAC">
            <w:pPr>
              <w:jc w:val="both"/>
              <w:rPr>
                <w:rFonts w:ascii="Times New Roman" w:hAnsi="Times New Roman"/>
                <w:sz w:val="24"/>
                <w:szCs w:val="24"/>
              </w:rPr>
            </w:pPr>
            <w:r>
              <w:rPr>
                <w:rFonts w:ascii="Times New Roman" w:hAnsi="Times New Roman"/>
                <w:sz w:val="24"/>
                <w:szCs w:val="24"/>
              </w:rPr>
              <w:t>Indeks Izvršenje/Plan 2025</w:t>
            </w:r>
            <w:r w:rsidR="00A71CAC" w:rsidRPr="00C312C7">
              <w:rPr>
                <w:rFonts w:ascii="Times New Roman" w:hAnsi="Times New Roman"/>
                <w:sz w:val="24"/>
                <w:szCs w:val="24"/>
              </w:rPr>
              <w:t>.</w:t>
            </w:r>
          </w:p>
        </w:tc>
      </w:tr>
      <w:tr w:rsidR="00A71CAC" w:rsidRPr="00C312C7" w:rsidTr="00632C20">
        <w:trPr>
          <w:trHeight w:val="314"/>
        </w:trPr>
        <w:tc>
          <w:tcPr>
            <w:tcW w:w="1150" w:type="dxa"/>
            <w:tcBorders>
              <w:top w:val="nil"/>
              <w:left w:val="single" w:sz="4" w:space="0" w:color="auto"/>
              <w:bottom w:val="single" w:sz="4" w:space="0" w:color="auto"/>
              <w:right w:val="single" w:sz="4" w:space="0" w:color="auto"/>
            </w:tcBorders>
            <w:shd w:val="clear" w:color="auto" w:fill="auto"/>
            <w:vAlign w:val="bottom"/>
            <w:hideMark/>
          </w:tcPr>
          <w:p w:rsidR="00A71CAC" w:rsidRPr="00C312C7" w:rsidRDefault="00A71CAC" w:rsidP="000B0038">
            <w:pPr>
              <w:jc w:val="both"/>
              <w:rPr>
                <w:rFonts w:ascii="Times New Roman" w:hAnsi="Times New Roman"/>
                <w:sz w:val="24"/>
                <w:szCs w:val="24"/>
              </w:rPr>
            </w:pPr>
            <w:r w:rsidRPr="00C312C7">
              <w:rPr>
                <w:rFonts w:ascii="Times New Roman" w:hAnsi="Times New Roman"/>
                <w:sz w:val="24"/>
                <w:szCs w:val="24"/>
              </w:rPr>
              <w:t>A622122</w:t>
            </w:r>
          </w:p>
        </w:tc>
        <w:tc>
          <w:tcPr>
            <w:tcW w:w="1529" w:type="dxa"/>
            <w:tcBorders>
              <w:top w:val="nil"/>
              <w:left w:val="nil"/>
              <w:bottom w:val="single" w:sz="4" w:space="0" w:color="auto"/>
              <w:right w:val="single" w:sz="4" w:space="0" w:color="auto"/>
            </w:tcBorders>
            <w:shd w:val="clear" w:color="auto" w:fill="auto"/>
            <w:noWrap/>
            <w:vAlign w:val="bottom"/>
          </w:tcPr>
          <w:p w:rsidR="00A71CAC" w:rsidRPr="00C312C7" w:rsidRDefault="00CB4EEF" w:rsidP="000B0038">
            <w:pPr>
              <w:jc w:val="both"/>
              <w:rPr>
                <w:rFonts w:ascii="Times New Roman" w:hAnsi="Times New Roman"/>
                <w:sz w:val="24"/>
                <w:szCs w:val="24"/>
              </w:rPr>
            </w:pPr>
            <w:r>
              <w:rPr>
                <w:rFonts w:ascii="Times New Roman" w:hAnsi="Times New Roman"/>
                <w:sz w:val="24"/>
                <w:szCs w:val="24"/>
              </w:rPr>
              <w:t>940.181,00</w:t>
            </w:r>
          </w:p>
        </w:tc>
        <w:tc>
          <w:tcPr>
            <w:tcW w:w="1616" w:type="dxa"/>
            <w:tcBorders>
              <w:top w:val="nil"/>
              <w:left w:val="nil"/>
              <w:bottom w:val="single" w:sz="4" w:space="0" w:color="auto"/>
              <w:right w:val="single" w:sz="4" w:space="0" w:color="auto"/>
            </w:tcBorders>
            <w:shd w:val="clear" w:color="auto" w:fill="auto"/>
            <w:noWrap/>
            <w:vAlign w:val="bottom"/>
          </w:tcPr>
          <w:p w:rsidR="00A71CAC" w:rsidRPr="00C312C7" w:rsidRDefault="00FD1A25" w:rsidP="000B0038">
            <w:pPr>
              <w:jc w:val="both"/>
              <w:rPr>
                <w:rFonts w:ascii="Times New Roman" w:hAnsi="Times New Roman"/>
                <w:sz w:val="24"/>
                <w:szCs w:val="24"/>
              </w:rPr>
            </w:pPr>
            <w:r>
              <w:rPr>
                <w:rFonts w:ascii="Times New Roman" w:hAnsi="Times New Roman"/>
                <w:sz w:val="24"/>
                <w:szCs w:val="24"/>
              </w:rPr>
              <w:t>929.090,32</w:t>
            </w:r>
          </w:p>
        </w:tc>
        <w:tc>
          <w:tcPr>
            <w:tcW w:w="1659" w:type="dxa"/>
            <w:tcBorders>
              <w:top w:val="nil"/>
              <w:left w:val="nil"/>
              <w:bottom w:val="single" w:sz="4" w:space="0" w:color="auto"/>
              <w:right w:val="single" w:sz="4" w:space="0" w:color="auto"/>
            </w:tcBorders>
            <w:shd w:val="clear" w:color="auto" w:fill="auto"/>
            <w:noWrap/>
            <w:vAlign w:val="bottom"/>
          </w:tcPr>
          <w:p w:rsidR="00A71CAC" w:rsidRPr="00C312C7" w:rsidRDefault="00FD1A25" w:rsidP="000B0038">
            <w:pPr>
              <w:jc w:val="both"/>
              <w:rPr>
                <w:rFonts w:ascii="Times New Roman" w:hAnsi="Times New Roman"/>
                <w:sz w:val="24"/>
                <w:szCs w:val="24"/>
              </w:rPr>
            </w:pPr>
            <w:r>
              <w:rPr>
                <w:rFonts w:ascii="Times New Roman" w:hAnsi="Times New Roman"/>
                <w:sz w:val="24"/>
                <w:szCs w:val="24"/>
              </w:rPr>
              <w:t>98,82</w:t>
            </w:r>
          </w:p>
        </w:tc>
      </w:tr>
    </w:tbl>
    <w:p w:rsidR="00B55649" w:rsidRDefault="00B55649" w:rsidP="00BC7BF5">
      <w:pPr>
        <w:spacing w:line="276" w:lineRule="auto"/>
        <w:jc w:val="both"/>
        <w:rPr>
          <w:rFonts w:ascii="Times New Roman" w:hAnsi="Times New Roman"/>
          <w:bCs/>
          <w:sz w:val="24"/>
          <w:szCs w:val="24"/>
        </w:rPr>
      </w:pPr>
    </w:p>
    <w:p w:rsidR="008F7C0B" w:rsidRDefault="00E01A7B" w:rsidP="00BC7BF5">
      <w:pPr>
        <w:spacing w:line="276" w:lineRule="auto"/>
        <w:jc w:val="both"/>
        <w:rPr>
          <w:rFonts w:ascii="Times New Roman" w:hAnsi="Times New Roman"/>
          <w:bCs/>
          <w:sz w:val="24"/>
          <w:szCs w:val="24"/>
        </w:rPr>
      </w:pPr>
      <w:r w:rsidRPr="00C312C7">
        <w:rPr>
          <w:rFonts w:ascii="Times New Roman" w:hAnsi="Times New Roman"/>
          <w:bCs/>
          <w:sz w:val="24"/>
          <w:szCs w:val="24"/>
        </w:rPr>
        <w:t>Ova aktivnost provodi se svake godine iz izvora financiranja 11 Opći prihodi i primici</w:t>
      </w:r>
      <w:r w:rsidR="00EB760B" w:rsidRPr="00C312C7">
        <w:rPr>
          <w:rFonts w:ascii="Times New Roman" w:hAnsi="Times New Roman"/>
          <w:bCs/>
          <w:sz w:val="24"/>
          <w:szCs w:val="24"/>
        </w:rPr>
        <w:t xml:space="preserve">. </w:t>
      </w:r>
      <w:r w:rsidRPr="00C312C7">
        <w:rPr>
          <w:rFonts w:ascii="Times New Roman" w:hAnsi="Times New Roman"/>
          <w:bCs/>
          <w:sz w:val="24"/>
          <w:szCs w:val="24"/>
        </w:rPr>
        <w:t>Aktivnosti se odnose na pokrivanje materijalnih troškova fakulteta</w:t>
      </w:r>
      <w:r w:rsidR="00F50E74" w:rsidRPr="00C312C7">
        <w:rPr>
          <w:rFonts w:ascii="Times New Roman" w:hAnsi="Times New Roman"/>
          <w:bCs/>
          <w:sz w:val="24"/>
          <w:szCs w:val="24"/>
        </w:rPr>
        <w:t xml:space="preserve">, </w:t>
      </w:r>
      <w:r w:rsidR="00FE752B">
        <w:rPr>
          <w:rFonts w:ascii="Times New Roman" w:hAnsi="Times New Roman"/>
          <w:bCs/>
          <w:sz w:val="24"/>
          <w:szCs w:val="24"/>
        </w:rPr>
        <w:t xml:space="preserve">interventnih sredstava, </w:t>
      </w:r>
      <w:proofErr w:type="spellStart"/>
      <w:r w:rsidR="00F50E74" w:rsidRPr="00C312C7">
        <w:rPr>
          <w:rFonts w:ascii="Times New Roman" w:hAnsi="Times New Roman"/>
          <w:bCs/>
          <w:sz w:val="24"/>
          <w:szCs w:val="24"/>
          <w:lang w:val="en-US"/>
        </w:rPr>
        <w:t>specifičnih</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troškova</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istraživačkog</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rada</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troškova</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publiciranja</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troškova</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mobilnosti</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i</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nabavke</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sitne</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i</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srednje</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znanstvene</w:t>
      </w:r>
      <w:proofErr w:type="spellEnd"/>
      <w:r w:rsidR="00F50E74" w:rsidRPr="00C312C7">
        <w:rPr>
          <w:rFonts w:ascii="Times New Roman" w:hAnsi="Times New Roman"/>
          <w:bCs/>
          <w:sz w:val="24"/>
          <w:szCs w:val="24"/>
          <w:lang w:val="en-US"/>
        </w:rPr>
        <w:t xml:space="preserve"> </w:t>
      </w:r>
      <w:proofErr w:type="spellStart"/>
      <w:r w:rsidR="00F50E74" w:rsidRPr="00C312C7">
        <w:rPr>
          <w:rFonts w:ascii="Times New Roman" w:hAnsi="Times New Roman"/>
          <w:bCs/>
          <w:sz w:val="24"/>
          <w:szCs w:val="24"/>
          <w:lang w:val="en-US"/>
        </w:rPr>
        <w:t>opreme</w:t>
      </w:r>
      <w:proofErr w:type="spellEnd"/>
      <w:r w:rsidR="00F50E74" w:rsidRPr="00C312C7">
        <w:rPr>
          <w:rFonts w:ascii="Times New Roman" w:hAnsi="Times New Roman"/>
          <w:bCs/>
          <w:sz w:val="24"/>
          <w:szCs w:val="24"/>
          <w:lang w:val="en-US"/>
        </w:rPr>
        <w:t xml:space="preserve">. </w:t>
      </w:r>
      <w:r w:rsidRPr="00C312C7">
        <w:rPr>
          <w:rFonts w:ascii="Times New Roman" w:hAnsi="Times New Roman"/>
          <w:bCs/>
          <w:sz w:val="24"/>
          <w:szCs w:val="24"/>
        </w:rPr>
        <w:t>Sredstva su planirana na temelju zadanih limita Ministarstva znanosti i obrazovanja</w:t>
      </w:r>
      <w:r w:rsidR="00D8012F">
        <w:rPr>
          <w:rFonts w:ascii="Times New Roman" w:hAnsi="Times New Roman"/>
          <w:bCs/>
          <w:sz w:val="24"/>
          <w:szCs w:val="24"/>
        </w:rPr>
        <w:t xml:space="preserve"> odnosno Sveučilišta u Zagrebu.</w:t>
      </w:r>
    </w:p>
    <w:p w:rsidR="00B55649" w:rsidRDefault="008F7C0B" w:rsidP="00BC7BF5">
      <w:pPr>
        <w:spacing w:line="276" w:lineRule="auto"/>
        <w:jc w:val="both"/>
        <w:rPr>
          <w:rFonts w:ascii="Times New Roman" w:hAnsi="Times New Roman"/>
          <w:b/>
          <w:bCs/>
          <w:sz w:val="24"/>
          <w:szCs w:val="24"/>
        </w:rPr>
      </w:pPr>
      <w:r w:rsidRPr="008F7C0B">
        <w:rPr>
          <w:rFonts w:ascii="Times New Roman" w:hAnsi="Times New Roman"/>
          <w:b/>
          <w:bCs/>
          <w:sz w:val="24"/>
          <w:szCs w:val="24"/>
        </w:rPr>
        <w:lastRenderedPageBreak/>
        <w:t xml:space="preserve">A679136 Razvoj sustava programskih sporazuma za financiranje sveučilišta i znanstvenih instituta usmjerenih na inovacije, istraživanje i razvoj – NPOO (C3.2. R1-I1) </w:t>
      </w:r>
    </w:p>
    <w:p w:rsidR="008F7C0B" w:rsidRPr="008F7C0B" w:rsidRDefault="008F7C0B" w:rsidP="00BC7BF5">
      <w:pPr>
        <w:spacing w:line="276" w:lineRule="auto"/>
        <w:jc w:val="both"/>
        <w:rPr>
          <w:rFonts w:ascii="Times New Roman" w:hAnsi="Times New Roman"/>
          <w:b/>
          <w:bCs/>
          <w:sz w:val="24"/>
          <w:szCs w:val="24"/>
        </w:rPr>
      </w:pPr>
      <w:r w:rsidRPr="008F7C0B">
        <w:rPr>
          <w:rFonts w:ascii="Times New Roman" w:hAnsi="Times New Roman"/>
          <w:b/>
          <w:bCs/>
          <w:sz w:val="24"/>
          <w:szCs w:val="24"/>
        </w:rPr>
        <w:t xml:space="preserve"> </w:t>
      </w:r>
    </w:p>
    <w:tbl>
      <w:tblPr>
        <w:tblW w:w="5954" w:type="dxa"/>
        <w:tblInd w:w="108" w:type="dxa"/>
        <w:tblLook w:val="04A0" w:firstRow="1" w:lastRow="0" w:firstColumn="1" w:lastColumn="0" w:noHBand="0" w:noVBand="1"/>
      </w:tblPr>
      <w:tblGrid>
        <w:gridCol w:w="1150"/>
        <w:gridCol w:w="1529"/>
        <w:gridCol w:w="1616"/>
        <w:gridCol w:w="1659"/>
      </w:tblGrid>
      <w:tr w:rsidR="008F7C0B" w:rsidRPr="00C312C7" w:rsidTr="00383E2B">
        <w:trPr>
          <w:trHeight w:val="944"/>
        </w:trPr>
        <w:tc>
          <w:tcPr>
            <w:tcW w:w="11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F7C0B" w:rsidRPr="00C312C7" w:rsidRDefault="008F7C0B" w:rsidP="00383E2B">
            <w:pPr>
              <w:jc w:val="both"/>
              <w:rPr>
                <w:rFonts w:ascii="Times New Roman" w:hAnsi="Times New Roman"/>
                <w:sz w:val="24"/>
                <w:szCs w:val="24"/>
              </w:rPr>
            </w:pPr>
          </w:p>
        </w:tc>
        <w:tc>
          <w:tcPr>
            <w:tcW w:w="1529" w:type="dxa"/>
            <w:tcBorders>
              <w:top w:val="single" w:sz="4" w:space="0" w:color="auto"/>
              <w:left w:val="nil"/>
              <w:bottom w:val="single" w:sz="4" w:space="0" w:color="auto"/>
              <w:right w:val="single" w:sz="4" w:space="0" w:color="auto"/>
            </w:tcBorders>
            <w:shd w:val="clear" w:color="000000" w:fill="D9D9D9"/>
            <w:noWrap/>
            <w:vAlign w:val="center"/>
            <w:hideMark/>
          </w:tcPr>
          <w:p w:rsidR="008F7C0B" w:rsidRPr="00C312C7" w:rsidRDefault="008F7C0B" w:rsidP="00383E2B">
            <w:pPr>
              <w:jc w:val="both"/>
              <w:rPr>
                <w:rFonts w:ascii="Times New Roman" w:hAnsi="Times New Roman"/>
                <w:sz w:val="24"/>
                <w:szCs w:val="24"/>
              </w:rPr>
            </w:pPr>
            <w:r>
              <w:rPr>
                <w:rFonts w:ascii="Times New Roman" w:hAnsi="Times New Roman"/>
                <w:sz w:val="24"/>
                <w:szCs w:val="24"/>
              </w:rPr>
              <w:t>Plan 2025</w:t>
            </w:r>
            <w:r w:rsidRPr="00C312C7">
              <w:rPr>
                <w:rFonts w:ascii="Times New Roman" w:hAnsi="Times New Roman"/>
                <w:sz w:val="24"/>
                <w:szCs w:val="24"/>
              </w:rPr>
              <w:t>.</w:t>
            </w:r>
          </w:p>
        </w:tc>
        <w:tc>
          <w:tcPr>
            <w:tcW w:w="1616" w:type="dxa"/>
            <w:tcBorders>
              <w:top w:val="single" w:sz="4" w:space="0" w:color="auto"/>
              <w:left w:val="nil"/>
              <w:bottom w:val="single" w:sz="4" w:space="0" w:color="auto"/>
              <w:right w:val="single" w:sz="4" w:space="0" w:color="auto"/>
            </w:tcBorders>
            <w:shd w:val="clear" w:color="000000" w:fill="D9D9D9"/>
            <w:noWrap/>
            <w:vAlign w:val="center"/>
            <w:hideMark/>
          </w:tcPr>
          <w:p w:rsidR="008F7C0B" w:rsidRPr="00C312C7" w:rsidRDefault="008F7C0B" w:rsidP="00383E2B">
            <w:pPr>
              <w:jc w:val="both"/>
              <w:rPr>
                <w:rFonts w:ascii="Times New Roman" w:hAnsi="Times New Roman"/>
                <w:sz w:val="24"/>
                <w:szCs w:val="24"/>
              </w:rPr>
            </w:pPr>
            <w:r>
              <w:rPr>
                <w:rFonts w:ascii="Times New Roman" w:hAnsi="Times New Roman"/>
                <w:sz w:val="24"/>
                <w:szCs w:val="24"/>
              </w:rPr>
              <w:t>Izvršenje 2025</w:t>
            </w:r>
            <w:r w:rsidRPr="00C312C7">
              <w:rPr>
                <w:rFonts w:ascii="Times New Roman" w:hAnsi="Times New Roman"/>
                <w:sz w:val="24"/>
                <w:szCs w:val="24"/>
              </w:rPr>
              <w:t>.</w:t>
            </w:r>
          </w:p>
        </w:tc>
        <w:tc>
          <w:tcPr>
            <w:tcW w:w="1659" w:type="dxa"/>
            <w:tcBorders>
              <w:top w:val="single" w:sz="4" w:space="0" w:color="auto"/>
              <w:left w:val="nil"/>
              <w:bottom w:val="single" w:sz="4" w:space="0" w:color="auto"/>
              <w:right w:val="single" w:sz="4" w:space="0" w:color="auto"/>
            </w:tcBorders>
            <w:shd w:val="clear" w:color="000000" w:fill="D9D9D9"/>
            <w:noWrap/>
            <w:vAlign w:val="center"/>
            <w:hideMark/>
          </w:tcPr>
          <w:p w:rsidR="008F7C0B" w:rsidRPr="00C312C7" w:rsidRDefault="008F7C0B" w:rsidP="00383E2B">
            <w:pPr>
              <w:jc w:val="both"/>
              <w:rPr>
                <w:rFonts w:ascii="Times New Roman" w:hAnsi="Times New Roman"/>
                <w:sz w:val="24"/>
                <w:szCs w:val="24"/>
              </w:rPr>
            </w:pPr>
            <w:r>
              <w:rPr>
                <w:rFonts w:ascii="Times New Roman" w:hAnsi="Times New Roman"/>
                <w:sz w:val="24"/>
                <w:szCs w:val="24"/>
              </w:rPr>
              <w:t>Indeks Izvršenje/Plan 2025</w:t>
            </w:r>
            <w:r w:rsidRPr="00C312C7">
              <w:rPr>
                <w:rFonts w:ascii="Times New Roman" w:hAnsi="Times New Roman"/>
                <w:sz w:val="24"/>
                <w:szCs w:val="24"/>
              </w:rPr>
              <w:t>.</w:t>
            </w:r>
          </w:p>
        </w:tc>
      </w:tr>
      <w:tr w:rsidR="008F7C0B" w:rsidRPr="00C312C7" w:rsidTr="00383E2B">
        <w:trPr>
          <w:trHeight w:val="314"/>
        </w:trPr>
        <w:tc>
          <w:tcPr>
            <w:tcW w:w="1150" w:type="dxa"/>
            <w:tcBorders>
              <w:top w:val="nil"/>
              <w:left w:val="single" w:sz="4" w:space="0" w:color="auto"/>
              <w:bottom w:val="single" w:sz="4" w:space="0" w:color="auto"/>
              <w:right w:val="single" w:sz="4" w:space="0" w:color="auto"/>
            </w:tcBorders>
            <w:shd w:val="clear" w:color="auto" w:fill="auto"/>
            <w:vAlign w:val="bottom"/>
            <w:hideMark/>
          </w:tcPr>
          <w:p w:rsidR="008F7C0B" w:rsidRPr="00C312C7" w:rsidRDefault="008F7C0B" w:rsidP="008F7C0B">
            <w:pPr>
              <w:jc w:val="both"/>
              <w:rPr>
                <w:rFonts w:ascii="Times New Roman" w:hAnsi="Times New Roman"/>
                <w:sz w:val="24"/>
                <w:szCs w:val="24"/>
              </w:rPr>
            </w:pPr>
            <w:r w:rsidRPr="00C312C7">
              <w:rPr>
                <w:rFonts w:ascii="Times New Roman" w:hAnsi="Times New Roman"/>
                <w:sz w:val="24"/>
                <w:szCs w:val="24"/>
              </w:rPr>
              <w:t>A6</w:t>
            </w:r>
            <w:r>
              <w:rPr>
                <w:rFonts w:ascii="Times New Roman" w:hAnsi="Times New Roman"/>
                <w:sz w:val="24"/>
                <w:szCs w:val="24"/>
              </w:rPr>
              <w:t>79136</w:t>
            </w:r>
          </w:p>
        </w:tc>
        <w:tc>
          <w:tcPr>
            <w:tcW w:w="1529" w:type="dxa"/>
            <w:tcBorders>
              <w:top w:val="nil"/>
              <w:left w:val="nil"/>
              <w:bottom w:val="single" w:sz="4" w:space="0" w:color="auto"/>
              <w:right w:val="single" w:sz="4" w:space="0" w:color="auto"/>
            </w:tcBorders>
            <w:shd w:val="clear" w:color="auto" w:fill="auto"/>
            <w:noWrap/>
            <w:vAlign w:val="bottom"/>
          </w:tcPr>
          <w:p w:rsidR="008F7C0B" w:rsidRPr="00C312C7" w:rsidRDefault="008F7C0B" w:rsidP="00383E2B">
            <w:pPr>
              <w:jc w:val="both"/>
              <w:rPr>
                <w:rFonts w:ascii="Times New Roman" w:hAnsi="Times New Roman"/>
                <w:sz w:val="24"/>
                <w:szCs w:val="24"/>
              </w:rPr>
            </w:pPr>
            <w:r>
              <w:rPr>
                <w:rFonts w:ascii="Times New Roman" w:hAnsi="Times New Roman"/>
                <w:sz w:val="24"/>
                <w:szCs w:val="24"/>
              </w:rPr>
              <w:t>78.962,00</w:t>
            </w:r>
          </w:p>
        </w:tc>
        <w:tc>
          <w:tcPr>
            <w:tcW w:w="1616" w:type="dxa"/>
            <w:tcBorders>
              <w:top w:val="nil"/>
              <w:left w:val="nil"/>
              <w:bottom w:val="single" w:sz="4" w:space="0" w:color="auto"/>
              <w:right w:val="single" w:sz="4" w:space="0" w:color="auto"/>
            </w:tcBorders>
            <w:shd w:val="clear" w:color="auto" w:fill="auto"/>
            <w:noWrap/>
            <w:vAlign w:val="bottom"/>
          </w:tcPr>
          <w:p w:rsidR="008F7C0B" w:rsidRPr="00C312C7" w:rsidRDefault="00B55649" w:rsidP="00383E2B">
            <w:pPr>
              <w:jc w:val="both"/>
              <w:rPr>
                <w:rFonts w:ascii="Times New Roman" w:hAnsi="Times New Roman"/>
                <w:sz w:val="24"/>
                <w:szCs w:val="24"/>
              </w:rPr>
            </w:pPr>
            <w:r>
              <w:rPr>
                <w:rFonts w:ascii="Times New Roman" w:hAnsi="Times New Roman"/>
                <w:sz w:val="24"/>
                <w:szCs w:val="24"/>
              </w:rPr>
              <w:t>3.415,67</w:t>
            </w:r>
          </w:p>
        </w:tc>
        <w:tc>
          <w:tcPr>
            <w:tcW w:w="1659" w:type="dxa"/>
            <w:tcBorders>
              <w:top w:val="nil"/>
              <w:left w:val="nil"/>
              <w:bottom w:val="single" w:sz="4" w:space="0" w:color="auto"/>
              <w:right w:val="single" w:sz="4" w:space="0" w:color="auto"/>
            </w:tcBorders>
            <w:shd w:val="clear" w:color="auto" w:fill="auto"/>
            <w:noWrap/>
            <w:vAlign w:val="bottom"/>
          </w:tcPr>
          <w:p w:rsidR="008F7C0B" w:rsidRPr="00C312C7" w:rsidRDefault="00B55649" w:rsidP="00383E2B">
            <w:pPr>
              <w:jc w:val="both"/>
              <w:rPr>
                <w:rFonts w:ascii="Times New Roman" w:hAnsi="Times New Roman"/>
                <w:sz w:val="24"/>
                <w:szCs w:val="24"/>
              </w:rPr>
            </w:pPr>
            <w:r>
              <w:rPr>
                <w:rFonts w:ascii="Times New Roman" w:hAnsi="Times New Roman"/>
                <w:sz w:val="24"/>
                <w:szCs w:val="24"/>
              </w:rPr>
              <w:t>4,33</w:t>
            </w:r>
          </w:p>
        </w:tc>
      </w:tr>
    </w:tbl>
    <w:p w:rsidR="00CB573F" w:rsidRDefault="00CB573F" w:rsidP="008F7C0B">
      <w:pPr>
        <w:jc w:val="both"/>
        <w:rPr>
          <w:rFonts w:ascii="Times New Roman" w:eastAsia="Times New Roman" w:hAnsi="Times New Roman"/>
          <w:bCs/>
          <w:sz w:val="24"/>
          <w:szCs w:val="24"/>
        </w:rPr>
      </w:pPr>
    </w:p>
    <w:p w:rsidR="008F7C0B" w:rsidRPr="008F7C0B" w:rsidRDefault="008F7C0B" w:rsidP="008F7C0B">
      <w:pPr>
        <w:jc w:val="both"/>
        <w:rPr>
          <w:rFonts w:ascii="Times New Roman" w:eastAsia="Times New Roman" w:hAnsi="Times New Roman"/>
          <w:bCs/>
          <w:sz w:val="24"/>
          <w:szCs w:val="24"/>
        </w:rPr>
      </w:pPr>
      <w:r w:rsidRPr="008F7C0B">
        <w:rPr>
          <w:rFonts w:ascii="Times New Roman" w:eastAsia="Times New Roman" w:hAnsi="Times New Roman"/>
          <w:bCs/>
          <w:sz w:val="24"/>
          <w:szCs w:val="24"/>
        </w:rPr>
        <w:t xml:space="preserve">U sklopu izvora 581 Mehanizam za oporavak i otpornost planirani su rashodi za 15 ugovorenih znanstvenih projekata iz programskog ugovora za izvedbenu komponentu, financiranih iz NPOO-a. </w:t>
      </w:r>
    </w:p>
    <w:p w:rsidR="00A71CAC" w:rsidRPr="00C312C7" w:rsidRDefault="00A71CAC" w:rsidP="00302A1B">
      <w:pPr>
        <w:jc w:val="both"/>
        <w:rPr>
          <w:rFonts w:ascii="Times New Roman" w:hAnsi="Times New Roman"/>
          <w:b/>
          <w:bCs/>
          <w:sz w:val="24"/>
          <w:szCs w:val="24"/>
        </w:rPr>
      </w:pPr>
    </w:p>
    <w:p w:rsidR="00302A1B" w:rsidRPr="00C312C7" w:rsidRDefault="00302A1B" w:rsidP="00302A1B">
      <w:pPr>
        <w:jc w:val="both"/>
        <w:rPr>
          <w:rFonts w:ascii="Times New Roman" w:hAnsi="Times New Roman"/>
          <w:b/>
          <w:bCs/>
          <w:sz w:val="24"/>
          <w:szCs w:val="24"/>
        </w:rPr>
      </w:pPr>
      <w:r w:rsidRPr="00C312C7">
        <w:rPr>
          <w:rFonts w:ascii="Times New Roman" w:hAnsi="Times New Roman"/>
          <w:b/>
          <w:bCs/>
          <w:sz w:val="24"/>
          <w:szCs w:val="24"/>
        </w:rPr>
        <w:t>A679088 Redovna djelatnost Sveučilišta u Zagrebu Stomatološki fakultet (iz EV prihoda)</w:t>
      </w:r>
    </w:p>
    <w:p w:rsidR="000B0038" w:rsidRPr="00C312C7" w:rsidRDefault="000B0038" w:rsidP="000B0038">
      <w:pPr>
        <w:jc w:val="both"/>
        <w:rPr>
          <w:rFonts w:ascii="Times New Roman" w:hAnsi="Times New Roman"/>
          <w:b/>
          <w:bCs/>
          <w:sz w:val="24"/>
          <w:szCs w:val="24"/>
        </w:rPr>
      </w:pPr>
    </w:p>
    <w:tbl>
      <w:tblPr>
        <w:tblW w:w="5954" w:type="dxa"/>
        <w:tblInd w:w="108" w:type="dxa"/>
        <w:tblLook w:val="04A0" w:firstRow="1" w:lastRow="0" w:firstColumn="1" w:lastColumn="0" w:noHBand="0" w:noVBand="1"/>
      </w:tblPr>
      <w:tblGrid>
        <w:gridCol w:w="1110"/>
        <w:gridCol w:w="1476"/>
        <w:gridCol w:w="1476"/>
        <w:gridCol w:w="1892"/>
      </w:tblGrid>
      <w:tr w:rsidR="00C312C7" w:rsidRPr="00C312C7" w:rsidTr="00632C20">
        <w:trPr>
          <w:trHeight w:val="600"/>
        </w:trPr>
        <w:tc>
          <w:tcPr>
            <w:tcW w:w="11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760B" w:rsidRPr="00C312C7" w:rsidRDefault="00EB760B" w:rsidP="000B0038">
            <w:pPr>
              <w:jc w:val="both"/>
              <w:rPr>
                <w:rFonts w:ascii="Times New Roman" w:hAnsi="Times New Roman"/>
                <w:sz w:val="24"/>
                <w:szCs w:val="24"/>
              </w:rPr>
            </w:pP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EB760B" w:rsidRPr="00C312C7" w:rsidRDefault="001E6487" w:rsidP="000B0038">
            <w:pPr>
              <w:jc w:val="both"/>
              <w:rPr>
                <w:rFonts w:ascii="Times New Roman" w:hAnsi="Times New Roman"/>
                <w:sz w:val="24"/>
                <w:szCs w:val="24"/>
              </w:rPr>
            </w:pPr>
            <w:r>
              <w:rPr>
                <w:rFonts w:ascii="Times New Roman" w:hAnsi="Times New Roman"/>
                <w:sz w:val="24"/>
                <w:szCs w:val="24"/>
              </w:rPr>
              <w:t>Plan 2025</w:t>
            </w:r>
            <w:r w:rsidR="00EB760B" w:rsidRPr="00C312C7">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EB760B" w:rsidRPr="00C312C7" w:rsidRDefault="001E6487" w:rsidP="000B0038">
            <w:pPr>
              <w:jc w:val="both"/>
              <w:rPr>
                <w:rFonts w:ascii="Times New Roman" w:hAnsi="Times New Roman"/>
                <w:sz w:val="24"/>
                <w:szCs w:val="24"/>
              </w:rPr>
            </w:pPr>
            <w:r>
              <w:rPr>
                <w:rFonts w:ascii="Times New Roman" w:hAnsi="Times New Roman"/>
                <w:sz w:val="24"/>
                <w:szCs w:val="24"/>
              </w:rPr>
              <w:t>Izvršenje 2025</w:t>
            </w:r>
            <w:r w:rsidR="00EB760B" w:rsidRPr="00C312C7">
              <w:rPr>
                <w:rFonts w:ascii="Times New Roman" w:hAnsi="Times New Roman"/>
                <w:sz w:val="24"/>
                <w:szCs w:val="24"/>
              </w:rPr>
              <w:t>.</w:t>
            </w:r>
          </w:p>
        </w:tc>
        <w:tc>
          <w:tcPr>
            <w:tcW w:w="1892" w:type="dxa"/>
            <w:tcBorders>
              <w:top w:val="single" w:sz="4" w:space="0" w:color="auto"/>
              <w:left w:val="nil"/>
              <w:bottom w:val="single" w:sz="4" w:space="0" w:color="auto"/>
              <w:right w:val="single" w:sz="4" w:space="0" w:color="auto"/>
            </w:tcBorders>
            <w:shd w:val="clear" w:color="000000" w:fill="D9D9D9"/>
            <w:noWrap/>
            <w:vAlign w:val="center"/>
            <w:hideMark/>
          </w:tcPr>
          <w:p w:rsidR="00EB760B" w:rsidRPr="00C312C7" w:rsidRDefault="00EB760B" w:rsidP="000B0038">
            <w:pPr>
              <w:jc w:val="both"/>
              <w:rPr>
                <w:rFonts w:ascii="Times New Roman" w:hAnsi="Times New Roman"/>
                <w:sz w:val="24"/>
                <w:szCs w:val="24"/>
              </w:rPr>
            </w:pPr>
            <w:r w:rsidRPr="00C312C7">
              <w:rPr>
                <w:rFonts w:ascii="Times New Roman" w:hAnsi="Times New Roman"/>
                <w:sz w:val="24"/>
                <w:szCs w:val="24"/>
              </w:rPr>
              <w:t>Indeks Izvršenje/Plan 2</w:t>
            </w:r>
            <w:r w:rsidR="001E6487">
              <w:rPr>
                <w:rFonts w:ascii="Times New Roman" w:hAnsi="Times New Roman"/>
                <w:sz w:val="24"/>
                <w:szCs w:val="24"/>
              </w:rPr>
              <w:t>025</w:t>
            </w:r>
            <w:r w:rsidRPr="00C312C7">
              <w:rPr>
                <w:rFonts w:ascii="Times New Roman" w:hAnsi="Times New Roman"/>
                <w:sz w:val="24"/>
                <w:szCs w:val="24"/>
              </w:rPr>
              <w:t>.</w:t>
            </w:r>
          </w:p>
        </w:tc>
      </w:tr>
      <w:tr w:rsidR="00C312C7" w:rsidRPr="00C312C7" w:rsidTr="00632C20">
        <w:trPr>
          <w:trHeight w:val="300"/>
        </w:trPr>
        <w:tc>
          <w:tcPr>
            <w:tcW w:w="1110" w:type="dxa"/>
            <w:tcBorders>
              <w:top w:val="nil"/>
              <w:left w:val="single" w:sz="4" w:space="0" w:color="auto"/>
              <w:bottom w:val="single" w:sz="4" w:space="0" w:color="auto"/>
              <w:right w:val="single" w:sz="4" w:space="0" w:color="auto"/>
            </w:tcBorders>
            <w:shd w:val="clear" w:color="auto" w:fill="auto"/>
            <w:vAlign w:val="bottom"/>
            <w:hideMark/>
          </w:tcPr>
          <w:p w:rsidR="00EB760B" w:rsidRPr="00C312C7" w:rsidRDefault="00EB760B" w:rsidP="000B0038">
            <w:pPr>
              <w:jc w:val="both"/>
              <w:rPr>
                <w:rFonts w:ascii="Times New Roman" w:hAnsi="Times New Roman"/>
                <w:sz w:val="24"/>
                <w:szCs w:val="24"/>
              </w:rPr>
            </w:pPr>
            <w:r w:rsidRPr="00C312C7">
              <w:rPr>
                <w:rFonts w:ascii="Times New Roman" w:hAnsi="Times New Roman"/>
                <w:sz w:val="24"/>
                <w:szCs w:val="24"/>
              </w:rPr>
              <w:t>A679088</w:t>
            </w:r>
          </w:p>
        </w:tc>
        <w:tc>
          <w:tcPr>
            <w:tcW w:w="1476" w:type="dxa"/>
            <w:tcBorders>
              <w:top w:val="nil"/>
              <w:left w:val="nil"/>
              <w:bottom w:val="single" w:sz="4" w:space="0" w:color="auto"/>
              <w:right w:val="single" w:sz="4" w:space="0" w:color="auto"/>
            </w:tcBorders>
            <w:shd w:val="clear" w:color="auto" w:fill="auto"/>
            <w:noWrap/>
            <w:vAlign w:val="bottom"/>
          </w:tcPr>
          <w:p w:rsidR="00EB760B" w:rsidRPr="00C312C7" w:rsidRDefault="008F7C0B" w:rsidP="00EB760B">
            <w:pPr>
              <w:jc w:val="both"/>
              <w:rPr>
                <w:rFonts w:ascii="Times New Roman" w:hAnsi="Times New Roman"/>
                <w:sz w:val="24"/>
                <w:szCs w:val="24"/>
              </w:rPr>
            </w:pPr>
            <w:r>
              <w:rPr>
                <w:rFonts w:ascii="Times New Roman" w:hAnsi="Times New Roman"/>
                <w:sz w:val="24"/>
                <w:szCs w:val="24"/>
              </w:rPr>
              <w:t>2.383.763,00</w:t>
            </w:r>
          </w:p>
        </w:tc>
        <w:tc>
          <w:tcPr>
            <w:tcW w:w="1476" w:type="dxa"/>
            <w:tcBorders>
              <w:top w:val="nil"/>
              <w:left w:val="nil"/>
              <w:bottom w:val="single" w:sz="4" w:space="0" w:color="auto"/>
              <w:right w:val="single" w:sz="4" w:space="0" w:color="auto"/>
            </w:tcBorders>
            <w:shd w:val="clear" w:color="auto" w:fill="auto"/>
            <w:noWrap/>
            <w:vAlign w:val="bottom"/>
          </w:tcPr>
          <w:p w:rsidR="00EB760B" w:rsidRPr="00C312C7" w:rsidRDefault="008F7C0B" w:rsidP="00EB760B">
            <w:pPr>
              <w:jc w:val="both"/>
              <w:rPr>
                <w:rFonts w:ascii="Times New Roman" w:hAnsi="Times New Roman"/>
                <w:sz w:val="24"/>
                <w:szCs w:val="24"/>
              </w:rPr>
            </w:pPr>
            <w:r>
              <w:rPr>
                <w:rFonts w:ascii="Times New Roman" w:hAnsi="Times New Roman"/>
                <w:sz w:val="24"/>
                <w:szCs w:val="24"/>
              </w:rPr>
              <w:t>2.165.141,71</w:t>
            </w:r>
          </w:p>
        </w:tc>
        <w:tc>
          <w:tcPr>
            <w:tcW w:w="1892" w:type="dxa"/>
            <w:tcBorders>
              <w:top w:val="nil"/>
              <w:left w:val="nil"/>
              <w:bottom w:val="single" w:sz="4" w:space="0" w:color="auto"/>
              <w:right w:val="single" w:sz="4" w:space="0" w:color="auto"/>
            </w:tcBorders>
            <w:shd w:val="clear" w:color="auto" w:fill="auto"/>
            <w:noWrap/>
            <w:vAlign w:val="bottom"/>
          </w:tcPr>
          <w:p w:rsidR="00EB760B" w:rsidRPr="00C312C7" w:rsidRDefault="008F7C0B" w:rsidP="000B0038">
            <w:pPr>
              <w:jc w:val="both"/>
              <w:rPr>
                <w:rFonts w:ascii="Times New Roman" w:hAnsi="Times New Roman"/>
                <w:sz w:val="24"/>
                <w:szCs w:val="24"/>
              </w:rPr>
            </w:pPr>
            <w:r>
              <w:rPr>
                <w:rFonts w:ascii="Times New Roman" w:hAnsi="Times New Roman"/>
                <w:sz w:val="24"/>
                <w:szCs w:val="24"/>
              </w:rPr>
              <w:t>90,83</w:t>
            </w:r>
          </w:p>
        </w:tc>
      </w:tr>
    </w:tbl>
    <w:p w:rsidR="000B0038" w:rsidRPr="00C312C7" w:rsidRDefault="000B0038" w:rsidP="000B0038">
      <w:pPr>
        <w:jc w:val="both"/>
        <w:rPr>
          <w:rFonts w:ascii="Times New Roman" w:hAnsi="Times New Roman"/>
          <w:bCs/>
          <w:sz w:val="24"/>
          <w:szCs w:val="24"/>
        </w:rPr>
      </w:pPr>
    </w:p>
    <w:p w:rsidR="00302A1B" w:rsidRPr="006679D4" w:rsidRDefault="00F50E74" w:rsidP="00302A1B">
      <w:pPr>
        <w:spacing w:line="276" w:lineRule="auto"/>
        <w:jc w:val="both"/>
        <w:rPr>
          <w:rFonts w:ascii="Times New Roman" w:hAnsi="Times New Roman"/>
          <w:bCs/>
          <w:sz w:val="24"/>
          <w:szCs w:val="24"/>
        </w:rPr>
      </w:pPr>
      <w:r w:rsidRPr="006679D4">
        <w:rPr>
          <w:rFonts w:ascii="Times New Roman" w:hAnsi="Times New Roman"/>
          <w:bCs/>
          <w:sz w:val="24"/>
          <w:szCs w:val="24"/>
        </w:rPr>
        <w:t xml:space="preserve">Ova aktivnost provodi se svake godine iz izvora financiranja: 31, 43, </w:t>
      </w:r>
      <w:r w:rsidR="001E6487">
        <w:rPr>
          <w:rFonts w:ascii="Times New Roman" w:hAnsi="Times New Roman"/>
          <w:bCs/>
          <w:sz w:val="24"/>
          <w:szCs w:val="24"/>
        </w:rPr>
        <w:t xml:space="preserve">51, </w:t>
      </w:r>
      <w:r w:rsidRPr="006679D4">
        <w:rPr>
          <w:rFonts w:ascii="Times New Roman" w:hAnsi="Times New Roman"/>
          <w:bCs/>
          <w:sz w:val="24"/>
          <w:szCs w:val="24"/>
        </w:rPr>
        <w:t xml:space="preserve">52, 61 i 71. </w:t>
      </w:r>
      <w:r w:rsidR="00302A1B" w:rsidRPr="006679D4">
        <w:rPr>
          <w:rFonts w:ascii="Times New Roman" w:hAnsi="Times New Roman"/>
          <w:bCs/>
          <w:sz w:val="24"/>
          <w:szCs w:val="24"/>
        </w:rPr>
        <w:t>Izvršenje rashoda s navedenih aktivnosti provodi se s računa proračunskog korisnika (Fakulteta), a evidencija u sustavu državne riznice o ostvarenju i trošenju vlastitih i namjenskih prihoda i primitaka provodi se na temelju mjesečnih izvještaja korisnika (evidencijski prihodi).</w:t>
      </w:r>
    </w:p>
    <w:p w:rsidR="00A511FD" w:rsidRPr="00802147" w:rsidRDefault="00A511FD" w:rsidP="00FE752B">
      <w:pPr>
        <w:spacing w:line="276" w:lineRule="auto"/>
        <w:jc w:val="both"/>
        <w:rPr>
          <w:rFonts w:ascii="Times New Roman" w:hAnsi="Times New Roman"/>
          <w:bCs/>
          <w:sz w:val="24"/>
          <w:szCs w:val="24"/>
        </w:rPr>
      </w:pPr>
      <w:r w:rsidRPr="00802147">
        <w:rPr>
          <w:rFonts w:ascii="Times New Roman" w:hAnsi="Times New Roman"/>
          <w:bCs/>
          <w:sz w:val="24"/>
          <w:szCs w:val="24"/>
        </w:rPr>
        <w:t xml:space="preserve">Na izvoru </w:t>
      </w:r>
      <w:r w:rsidR="00FE752B">
        <w:rPr>
          <w:rFonts w:ascii="Times New Roman" w:hAnsi="Times New Roman"/>
          <w:bCs/>
          <w:sz w:val="24"/>
          <w:szCs w:val="24"/>
        </w:rPr>
        <w:t>31</w:t>
      </w:r>
      <w:r w:rsidR="00302A1B" w:rsidRPr="00802147">
        <w:rPr>
          <w:rFonts w:ascii="Times New Roman" w:hAnsi="Times New Roman"/>
          <w:bCs/>
          <w:sz w:val="24"/>
          <w:szCs w:val="24"/>
        </w:rPr>
        <w:t xml:space="preserve"> </w:t>
      </w:r>
      <w:r w:rsidR="00EB760B" w:rsidRPr="00802147">
        <w:rPr>
          <w:rFonts w:ascii="Times New Roman" w:hAnsi="Times New Roman"/>
          <w:bCs/>
          <w:sz w:val="24"/>
          <w:szCs w:val="24"/>
        </w:rPr>
        <w:t xml:space="preserve">ostvarenje rashoda u postotku od </w:t>
      </w:r>
      <w:r w:rsidR="00B55649">
        <w:rPr>
          <w:rFonts w:ascii="Times New Roman" w:hAnsi="Times New Roman"/>
          <w:bCs/>
          <w:sz w:val="24"/>
          <w:szCs w:val="24"/>
        </w:rPr>
        <w:t xml:space="preserve">96,97 </w:t>
      </w:r>
      <w:r w:rsidR="009C6795" w:rsidRPr="00802147">
        <w:rPr>
          <w:rFonts w:ascii="Times New Roman" w:hAnsi="Times New Roman"/>
          <w:bCs/>
          <w:sz w:val="24"/>
          <w:szCs w:val="24"/>
        </w:rPr>
        <w:t xml:space="preserve">posto u odnosu na planirane rashode. </w:t>
      </w:r>
    </w:p>
    <w:p w:rsidR="00FC4DCB" w:rsidRDefault="00A511FD" w:rsidP="00FE752B">
      <w:pPr>
        <w:spacing w:line="276" w:lineRule="auto"/>
        <w:jc w:val="both"/>
        <w:rPr>
          <w:rFonts w:ascii="Times New Roman" w:hAnsi="Times New Roman"/>
          <w:bCs/>
          <w:sz w:val="24"/>
          <w:szCs w:val="24"/>
        </w:rPr>
      </w:pPr>
      <w:r w:rsidRPr="00802147">
        <w:rPr>
          <w:rFonts w:ascii="Times New Roman" w:hAnsi="Times New Roman"/>
          <w:bCs/>
          <w:sz w:val="24"/>
          <w:szCs w:val="24"/>
        </w:rPr>
        <w:t>Na izvoru 43</w:t>
      </w:r>
      <w:r w:rsidR="00FE752B">
        <w:rPr>
          <w:rFonts w:ascii="Times New Roman" w:hAnsi="Times New Roman"/>
          <w:bCs/>
          <w:sz w:val="24"/>
          <w:szCs w:val="24"/>
        </w:rPr>
        <w:t xml:space="preserve"> </w:t>
      </w:r>
      <w:r w:rsidR="009C6795" w:rsidRPr="00802147">
        <w:rPr>
          <w:rFonts w:ascii="Times New Roman" w:hAnsi="Times New Roman"/>
          <w:bCs/>
          <w:sz w:val="24"/>
          <w:szCs w:val="24"/>
        </w:rPr>
        <w:t>os</w:t>
      </w:r>
      <w:r w:rsidR="00B55649">
        <w:rPr>
          <w:rFonts w:ascii="Times New Roman" w:hAnsi="Times New Roman"/>
          <w:bCs/>
          <w:sz w:val="24"/>
          <w:szCs w:val="24"/>
        </w:rPr>
        <w:t xml:space="preserve">tvarenje rashoda u postotku od 89,39 </w:t>
      </w:r>
      <w:r w:rsidR="009C6795" w:rsidRPr="00802147">
        <w:rPr>
          <w:rFonts w:ascii="Times New Roman" w:hAnsi="Times New Roman"/>
          <w:bCs/>
          <w:sz w:val="24"/>
          <w:szCs w:val="24"/>
        </w:rPr>
        <w:t>posto u odnosu na planirane rashode.</w:t>
      </w:r>
    </w:p>
    <w:p w:rsidR="009C6795" w:rsidRPr="00802147" w:rsidRDefault="00FC4DCB" w:rsidP="00FE752B">
      <w:pPr>
        <w:spacing w:line="276" w:lineRule="auto"/>
        <w:jc w:val="both"/>
        <w:rPr>
          <w:rFonts w:ascii="Times New Roman" w:hAnsi="Times New Roman"/>
          <w:bCs/>
          <w:sz w:val="24"/>
          <w:szCs w:val="24"/>
        </w:rPr>
      </w:pPr>
      <w:r>
        <w:rPr>
          <w:rFonts w:ascii="Times New Roman" w:hAnsi="Times New Roman"/>
          <w:bCs/>
          <w:sz w:val="24"/>
          <w:szCs w:val="24"/>
        </w:rPr>
        <w:t>Na izvoru 51</w:t>
      </w:r>
      <w:r w:rsidR="00FE752B">
        <w:rPr>
          <w:rFonts w:ascii="Times New Roman" w:hAnsi="Times New Roman"/>
          <w:bCs/>
          <w:sz w:val="24"/>
          <w:szCs w:val="24"/>
        </w:rPr>
        <w:t xml:space="preserve"> </w:t>
      </w:r>
      <w:r>
        <w:rPr>
          <w:rFonts w:ascii="Times New Roman" w:hAnsi="Times New Roman"/>
          <w:bCs/>
          <w:sz w:val="24"/>
          <w:szCs w:val="24"/>
        </w:rPr>
        <w:t xml:space="preserve">ostvarenje </w:t>
      </w:r>
      <w:r w:rsidR="00B55649">
        <w:rPr>
          <w:rFonts w:ascii="Times New Roman" w:hAnsi="Times New Roman"/>
          <w:bCs/>
          <w:sz w:val="24"/>
          <w:szCs w:val="24"/>
        </w:rPr>
        <w:t xml:space="preserve">rashoda u postotku od 99,98 posto u </w:t>
      </w:r>
      <w:r w:rsidR="00B55649" w:rsidRPr="00802147">
        <w:rPr>
          <w:rFonts w:ascii="Times New Roman" w:hAnsi="Times New Roman"/>
          <w:bCs/>
          <w:sz w:val="24"/>
          <w:szCs w:val="24"/>
        </w:rPr>
        <w:t>odnosu na planirane rashode.</w:t>
      </w:r>
    </w:p>
    <w:p w:rsidR="009C6795" w:rsidRDefault="00D7679A" w:rsidP="00FE752B">
      <w:pPr>
        <w:spacing w:line="276" w:lineRule="auto"/>
        <w:jc w:val="both"/>
        <w:rPr>
          <w:rFonts w:ascii="Times New Roman" w:hAnsi="Times New Roman"/>
          <w:bCs/>
          <w:sz w:val="24"/>
          <w:szCs w:val="24"/>
        </w:rPr>
      </w:pPr>
      <w:r w:rsidRPr="00802147">
        <w:rPr>
          <w:rFonts w:ascii="Times New Roman" w:hAnsi="Times New Roman"/>
          <w:bCs/>
          <w:sz w:val="24"/>
          <w:szCs w:val="24"/>
        </w:rPr>
        <w:t xml:space="preserve">Na izvoru </w:t>
      </w:r>
      <w:r w:rsidR="00A511FD" w:rsidRPr="00802147">
        <w:rPr>
          <w:rFonts w:ascii="Times New Roman" w:hAnsi="Times New Roman"/>
          <w:bCs/>
          <w:sz w:val="24"/>
          <w:szCs w:val="24"/>
        </w:rPr>
        <w:t>52</w:t>
      </w:r>
      <w:r w:rsidR="00FE752B">
        <w:rPr>
          <w:rFonts w:ascii="Times New Roman" w:hAnsi="Times New Roman"/>
          <w:bCs/>
          <w:sz w:val="24"/>
          <w:szCs w:val="24"/>
        </w:rPr>
        <w:t xml:space="preserve"> </w:t>
      </w:r>
      <w:r w:rsidR="009C6795" w:rsidRPr="00802147">
        <w:rPr>
          <w:rFonts w:ascii="Times New Roman" w:hAnsi="Times New Roman"/>
          <w:bCs/>
          <w:sz w:val="24"/>
          <w:szCs w:val="24"/>
        </w:rPr>
        <w:t>os</w:t>
      </w:r>
      <w:r w:rsidR="00FE752B">
        <w:rPr>
          <w:rFonts w:ascii="Times New Roman" w:hAnsi="Times New Roman"/>
          <w:bCs/>
          <w:sz w:val="24"/>
          <w:szCs w:val="24"/>
        </w:rPr>
        <w:t xml:space="preserve">tvarenje rashoda u postotku od </w:t>
      </w:r>
      <w:r w:rsidR="00B55649">
        <w:rPr>
          <w:rFonts w:ascii="Times New Roman" w:hAnsi="Times New Roman"/>
          <w:bCs/>
          <w:sz w:val="24"/>
          <w:szCs w:val="24"/>
        </w:rPr>
        <w:t xml:space="preserve">90,84 </w:t>
      </w:r>
      <w:r w:rsidR="009C6795" w:rsidRPr="00802147">
        <w:rPr>
          <w:rFonts w:ascii="Times New Roman" w:hAnsi="Times New Roman"/>
          <w:bCs/>
          <w:sz w:val="24"/>
          <w:szCs w:val="24"/>
        </w:rPr>
        <w:t xml:space="preserve">posto u odnosu na planirane rashode. </w:t>
      </w:r>
    </w:p>
    <w:p w:rsidR="009C6795" w:rsidRPr="00802147" w:rsidRDefault="00A511FD" w:rsidP="00FE752B">
      <w:pPr>
        <w:spacing w:line="276" w:lineRule="auto"/>
        <w:jc w:val="both"/>
        <w:rPr>
          <w:rFonts w:ascii="Times New Roman" w:hAnsi="Times New Roman"/>
          <w:bCs/>
          <w:sz w:val="24"/>
          <w:szCs w:val="24"/>
        </w:rPr>
      </w:pPr>
      <w:r w:rsidRPr="00802147">
        <w:rPr>
          <w:rFonts w:ascii="Times New Roman" w:hAnsi="Times New Roman"/>
          <w:bCs/>
          <w:sz w:val="24"/>
          <w:szCs w:val="24"/>
        </w:rPr>
        <w:t xml:space="preserve">Na izvoru 61 </w:t>
      </w:r>
      <w:r w:rsidR="009C6795" w:rsidRPr="00802147">
        <w:rPr>
          <w:rFonts w:ascii="Times New Roman" w:hAnsi="Times New Roman"/>
          <w:bCs/>
          <w:sz w:val="24"/>
          <w:szCs w:val="24"/>
        </w:rPr>
        <w:t>os</w:t>
      </w:r>
      <w:r w:rsidR="00FE752B">
        <w:rPr>
          <w:rFonts w:ascii="Times New Roman" w:hAnsi="Times New Roman"/>
          <w:bCs/>
          <w:sz w:val="24"/>
          <w:szCs w:val="24"/>
        </w:rPr>
        <w:t xml:space="preserve">tvarenje rashoda u postotku od </w:t>
      </w:r>
      <w:r w:rsidR="00B55649">
        <w:rPr>
          <w:rFonts w:ascii="Times New Roman" w:hAnsi="Times New Roman"/>
          <w:bCs/>
          <w:sz w:val="24"/>
          <w:szCs w:val="24"/>
        </w:rPr>
        <w:t xml:space="preserve">96,58 </w:t>
      </w:r>
      <w:r w:rsidR="009C6795" w:rsidRPr="00802147">
        <w:rPr>
          <w:rFonts w:ascii="Times New Roman" w:hAnsi="Times New Roman"/>
          <w:bCs/>
          <w:sz w:val="24"/>
          <w:szCs w:val="24"/>
        </w:rPr>
        <w:t xml:space="preserve">posto u odnosu na planirane rashode. </w:t>
      </w:r>
    </w:p>
    <w:p w:rsidR="009C6795" w:rsidRPr="00802147" w:rsidRDefault="00D7679A" w:rsidP="00FE752B">
      <w:pPr>
        <w:spacing w:line="276" w:lineRule="auto"/>
        <w:jc w:val="both"/>
        <w:rPr>
          <w:rFonts w:ascii="Times New Roman" w:hAnsi="Times New Roman"/>
          <w:bCs/>
          <w:sz w:val="24"/>
          <w:szCs w:val="24"/>
        </w:rPr>
      </w:pPr>
      <w:r w:rsidRPr="00802147">
        <w:rPr>
          <w:rFonts w:ascii="Times New Roman" w:hAnsi="Times New Roman"/>
          <w:bCs/>
          <w:sz w:val="24"/>
          <w:szCs w:val="24"/>
        </w:rPr>
        <w:t>Na izvoru 71</w:t>
      </w:r>
      <w:r w:rsidR="00FE752B">
        <w:rPr>
          <w:rFonts w:ascii="Times New Roman" w:hAnsi="Times New Roman"/>
          <w:b/>
          <w:bCs/>
          <w:sz w:val="24"/>
          <w:szCs w:val="24"/>
        </w:rPr>
        <w:t xml:space="preserve"> </w:t>
      </w:r>
      <w:r w:rsidR="009C6795" w:rsidRPr="00802147">
        <w:rPr>
          <w:rFonts w:ascii="Times New Roman" w:hAnsi="Times New Roman"/>
          <w:bCs/>
          <w:sz w:val="24"/>
          <w:szCs w:val="24"/>
        </w:rPr>
        <w:t>os</w:t>
      </w:r>
      <w:r w:rsidR="00FE752B">
        <w:rPr>
          <w:rFonts w:ascii="Times New Roman" w:hAnsi="Times New Roman"/>
          <w:bCs/>
          <w:sz w:val="24"/>
          <w:szCs w:val="24"/>
        </w:rPr>
        <w:t xml:space="preserve">tvarenje rashoda u postotku od </w:t>
      </w:r>
      <w:r w:rsidR="00B55649">
        <w:rPr>
          <w:rFonts w:ascii="Times New Roman" w:hAnsi="Times New Roman"/>
          <w:bCs/>
          <w:sz w:val="24"/>
          <w:szCs w:val="24"/>
        </w:rPr>
        <w:t xml:space="preserve">97,33 </w:t>
      </w:r>
      <w:r w:rsidR="009C6795" w:rsidRPr="00802147">
        <w:rPr>
          <w:rFonts w:ascii="Times New Roman" w:hAnsi="Times New Roman"/>
          <w:bCs/>
          <w:sz w:val="24"/>
          <w:szCs w:val="24"/>
        </w:rPr>
        <w:t xml:space="preserve">posto u odnosu na planirane rashode. </w:t>
      </w:r>
    </w:p>
    <w:p w:rsidR="009C6795" w:rsidRPr="00802147" w:rsidRDefault="009C6795" w:rsidP="009C6795">
      <w:pPr>
        <w:pStyle w:val="ListParagraph"/>
        <w:spacing w:line="276" w:lineRule="auto"/>
        <w:ind w:left="686"/>
        <w:jc w:val="both"/>
        <w:rPr>
          <w:rFonts w:ascii="Times New Roman" w:hAnsi="Times New Roman"/>
          <w:bCs/>
          <w:sz w:val="24"/>
          <w:szCs w:val="24"/>
        </w:rPr>
      </w:pPr>
    </w:p>
    <w:p w:rsidR="000516E8" w:rsidRPr="00802147" w:rsidRDefault="00542521" w:rsidP="000516E8">
      <w:pPr>
        <w:jc w:val="both"/>
        <w:rPr>
          <w:rFonts w:ascii="Times New Roman" w:hAnsi="Times New Roman"/>
          <w:b/>
          <w:bCs/>
          <w:sz w:val="24"/>
          <w:szCs w:val="24"/>
        </w:rPr>
      </w:pPr>
      <w:r w:rsidRPr="00802147">
        <w:rPr>
          <w:rFonts w:ascii="Times New Roman" w:hAnsi="Times New Roman"/>
          <w:b/>
          <w:bCs/>
          <w:sz w:val="24"/>
          <w:szCs w:val="24"/>
        </w:rPr>
        <w:t xml:space="preserve">CILJ 1. </w:t>
      </w:r>
      <w:r w:rsidR="000516E8" w:rsidRPr="00802147">
        <w:rPr>
          <w:rFonts w:ascii="Times New Roman" w:hAnsi="Times New Roman"/>
          <w:b/>
          <w:bCs/>
          <w:sz w:val="24"/>
          <w:szCs w:val="24"/>
        </w:rPr>
        <w:t>POKAZATELJI UČINKA</w:t>
      </w:r>
      <w:r w:rsidRPr="00802147">
        <w:rPr>
          <w:rFonts w:ascii="Times New Roman" w:hAnsi="Times New Roman"/>
          <w:b/>
          <w:bCs/>
          <w:sz w:val="24"/>
          <w:szCs w:val="24"/>
        </w:rPr>
        <w:t xml:space="preserve"> NASTAVNA DJELATNOST</w:t>
      </w:r>
    </w:p>
    <w:p w:rsidR="000516E8" w:rsidRPr="00802147" w:rsidRDefault="000516E8" w:rsidP="000516E8">
      <w:pPr>
        <w:jc w:val="both"/>
        <w:rPr>
          <w:rFonts w:ascii="Times New Roman" w:hAnsi="Times New Roman"/>
          <w:b/>
          <w:bCs/>
          <w:sz w:val="24"/>
          <w:szCs w:val="24"/>
        </w:rPr>
      </w:pPr>
      <w:r w:rsidRPr="00802147">
        <w:rPr>
          <w:rFonts w:ascii="Times New Roman" w:hAnsi="Times New Roman"/>
          <w:b/>
          <w:bCs/>
          <w:sz w:val="24"/>
          <w:szCs w:val="24"/>
        </w:rPr>
        <w:t xml:space="preserve"> </w:t>
      </w:r>
    </w:p>
    <w:tbl>
      <w:tblPr>
        <w:tblW w:w="9683" w:type="dxa"/>
        <w:tblInd w:w="93" w:type="dxa"/>
        <w:tblLayout w:type="fixed"/>
        <w:tblLook w:val="00A0" w:firstRow="1" w:lastRow="0" w:firstColumn="1" w:lastColumn="0" w:noHBand="0" w:noVBand="0"/>
      </w:tblPr>
      <w:tblGrid>
        <w:gridCol w:w="1603"/>
        <w:gridCol w:w="1276"/>
        <w:gridCol w:w="1134"/>
        <w:gridCol w:w="1134"/>
        <w:gridCol w:w="1276"/>
        <w:gridCol w:w="1134"/>
        <w:gridCol w:w="1105"/>
        <w:gridCol w:w="1021"/>
      </w:tblGrid>
      <w:tr w:rsidR="00BB4DF5" w:rsidRPr="00BB4DF5" w:rsidTr="00CB04AF">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Pokazatelj</w:t>
            </w:r>
          </w:p>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rezultata</w:t>
            </w:r>
          </w:p>
          <w:p w:rsidR="000516E8" w:rsidRPr="006679D4" w:rsidRDefault="000516E8" w:rsidP="000516E8">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CB04AF" w:rsidP="000516E8">
            <w:pPr>
              <w:jc w:val="center"/>
              <w:rPr>
                <w:rFonts w:ascii="Times New Roman" w:hAnsi="Times New Roman"/>
                <w:b/>
                <w:bCs/>
                <w:sz w:val="18"/>
                <w:szCs w:val="18"/>
              </w:rPr>
            </w:pPr>
            <w:r w:rsidRPr="006679D4">
              <w:rPr>
                <w:rFonts w:ascii="Times New Roman" w:hAnsi="Times New Roman"/>
                <w:b/>
                <w:bCs/>
                <w:sz w:val="18"/>
                <w:szCs w:val="18"/>
              </w:rPr>
              <w:t>Polazna vrijednost</w:t>
            </w: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0516E8" w:rsidP="000516E8">
            <w:pPr>
              <w:jc w:val="center"/>
              <w:rPr>
                <w:rFonts w:ascii="Times New Roman" w:hAnsi="Times New Roman"/>
                <w:b/>
                <w:bCs/>
                <w:sz w:val="18"/>
                <w:szCs w:val="18"/>
              </w:rPr>
            </w:pPr>
            <w:r w:rsidRPr="006679D4">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1E21EE" w:rsidP="000516E8">
            <w:pPr>
              <w:jc w:val="center"/>
              <w:rPr>
                <w:rFonts w:ascii="Times New Roman" w:hAnsi="Times New Roman"/>
                <w:b/>
                <w:bCs/>
                <w:sz w:val="18"/>
                <w:szCs w:val="18"/>
              </w:rPr>
            </w:pPr>
            <w:r w:rsidRPr="006679D4">
              <w:rPr>
                <w:rFonts w:ascii="Times New Roman" w:hAnsi="Times New Roman"/>
                <w:b/>
                <w:bCs/>
                <w:sz w:val="18"/>
                <w:szCs w:val="18"/>
              </w:rPr>
              <w:t>Planirana</w:t>
            </w:r>
            <w:r w:rsidR="00CB04AF" w:rsidRPr="006679D4">
              <w:rPr>
                <w:rFonts w:ascii="Times New Roman" w:hAnsi="Times New Roman"/>
                <w:b/>
                <w:bCs/>
                <w:sz w:val="18"/>
                <w:szCs w:val="18"/>
              </w:rPr>
              <w:t xml:space="preserve"> vrijednost</w:t>
            </w:r>
            <w:r w:rsidR="001E6487">
              <w:rPr>
                <w:rFonts w:ascii="Times New Roman" w:hAnsi="Times New Roman"/>
                <w:b/>
                <w:bCs/>
                <w:sz w:val="18"/>
                <w:szCs w:val="18"/>
              </w:rPr>
              <w:t xml:space="preserve"> 2025</w:t>
            </w:r>
            <w:r w:rsidR="000516E8" w:rsidRPr="006679D4">
              <w:rPr>
                <w:rFonts w:ascii="Times New Roman" w:hAnsi="Times New Roman"/>
                <w:b/>
                <w:bCs/>
                <w:sz w:val="18"/>
                <w:szCs w:val="18"/>
              </w:rPr>
              <w:t>.</w:t>
            </w:r>
          </w:p>
        </w:tc>
        <w:tc>
          <w:tcPr>
            <w:tcW w:w="1105"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1E21EE" w:rsidP="001E21EE">
            <w:pPr>
              <w:jc w:val="center"/>
              <w:rPr>
                <w:rFonts w:ascii="Times New Roman" w:hAnsi="Times New Roman"/>
                <w:b/>
                <w:bCs/>
                <w:sz w:val="18"/>
                <w:szCs w:val="18"/>
              </w:rPr>
            </w:pPr>
            <w:proofErr w:type="spellStart"/>
            <w:r w:rsidRPr="006679D4">
              <w:rPr>
                <w:rFonts w:ascii="Times New Roman" w:hAnsi="Times New Roman"/>
                <w:b/>
                <w:bCs/>
                <w:sz w:val="18"/>
                <w:szCs w:val="18"/>
              </w:rPr>
              <w:t>Ostvarena</w:t>
            </w:r>
            <w:r w:rsidR="00CB04AF" w:rsidRPr="006679D4">
              <w:rPr>
                <w:rFonts w:ascii="Times New Roman" w:hAnsi="Times New Roman"/>
                <w:b/>
                <w:bCs/>
                <w:sz w:val="18"/>
                <w:szCs w:val="18"/>
              </w:rPr>
              <w:t>vrijednost</w:t>
            </w:r>
            <w:proofErr w:type="spellEnd"/>
            <w:r w:rsidR="000516E8" w:rsidRPr="006679D4">
              <w:rPr>
                <w:rFonts w:ascii="Times New Roman" w:hAnsi="Times New Roman"/>
                <w:b/>
                <w:bCs/>
                <w:sz w:val="18"/>
                <w:szCs w:val="18"/>
              </w:rPr>
              <w:t xml:space="preserve"> </w:t>
            </w:r>
            <w:r w:rsidR="001E6487">
              <w:rPr>
                <w:rFonts w:ascii="Times New Roman" w:hAnsi="Times New Roman"/>
                <w:b/>
                <w:bCs/>
                <w:sz w:val="18"/>
                <w:szCs w:val="18"/>
              </w:rPr>
              <w:t>2025</w:t>
            </w:r>
            <w:r w:rsidRPr="006679D4">
              <w:rPr>
                <w:rFonts w:ascii="Times New Roman" w:hAnsi="Times New Roman"/>
                <w:b/>
                <w:bCs/>
                <w:sz w:val="18"/>
                <w:szCs w:val="18"/>
              </w:rPr>
              <w:t>.</w:t>
            </w:r>
          </w:p>
        </w:tc>
        <w:tc>
          <w:tcPr>
            <w:tcW w:w="1021" w:type="dxa"/>
            <w:tcBorders>
              <w:top w:val="single" w:sz="4" w:space="0" w:color="auto"/>
              <w:left w:val="nil"/>
              <w:bottom w:val="single" w:sz="4" w:space="0" w:color="auto"/>
              <w:right w:val="single" w:sz="4" w:space="0" w:color="auto"/>
            </w:tcBorders>
            <w:shd w:val="clear" w:color="auto" w:fill="D9D9D9"/>
            <w:vAlign w:val="center"/>
          </w:tcPr>
          <w:p w:rsidR="000516E8" w:rsidRPr="006679D4" w:rsidRDefault="001E21EE" w:rsidP="000516E8">
            <w:pPr>
              <w:jc w:val="center"/>
              <w:rPr>
                <w:rFonts w:ascii="Times New Roman" w:hAnsi="Times New Roman"/>
                <w:b/>
                <w:bCs/>
                <w:sz w:val="18"/>
                <w:szCs w:val="18"/>
              </w:rPr>
            </w:pPr>
            <w:r w:rsidRPr="006679D4">
              <w:rPr>
                <w:rFonts w:ascii="Times New Roman" w:hAnsi="Times New Roman"/>
                <w:b/>
                <w:bCs/>
                <w:sz w:val="18"/>
                <w:szCs w:val="18"/>
              </w:rPr>
              <w:t>Indeks</w:t>
            </w:r>
          </w:p>
        </w:tc>
      </w:tr>
      <w:tr w:rsidR="00E8556C" w:rsidRPr="00E8556C"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E8556C" w:rsidRDefault="00C312C7" w:rsidP="000516E8">
            <w:pPr>
              <w:jc w:val="center"/>
              <w:rPr>
                <w:rFonts w:ascii="Times New Roman" w:hAnsi="Times New Roman"/>
              </w:rPr>
            </w:pPr>
            <w:r w:rsidRPr="00E8556C">
              <w:rPr>
                <w:rFonts w:ascii="Times New Roman" w:hAnsi="Times New Roman"/>
              </w:rPr>
              <w:t xml:space="preserve">Broj </w:t>
            </w:r>
            <w:r w:rsidR="000516E8" w:rsidRPr="00E8556C">
              <w:rPr>
                <w:rFonts w:ascii="Times New Roman" w:hAnsi="Times New Roman"/>
              </w:rPr>
              <w:t>studenata koji su stekli minimalno 55 ECTS bodova u protekloj ak. god. i ostvarili pravo upisa više godine studija</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Podizanje indeksa</w:t>
            </w:r>
          </w:p>
          <w:p w:rsidR="000516E8" w:rsidRPr="00E8556C" w:rsidRDefault="000516E8" w:rsidP="000516E8">
            <w:pPr>
              <w:jc w:val="center"/>
              <w:rPr>
                <w:rFonts w:ascii="Times New Roman" w:hAnsi="Times New Roman"/>
              </w:rPr>
            </w:pPr>
            <w:r w:rsidRPr="00E8556C">
              <w:rPr>
                <w:rFonts w:ascii="Times New Roman" w:hAnsi="Times New Roman"/>
              </w:rPr>
              <w:t>uspješnosti studiranja</w:t>
            </w:r>
          </w:p>
          <w:p w:rsidR="000516E8" w:rsidRPr="00E8556C" w:rsidRDefault="000516E8" w:rsidP="000516E8">
            <w:pPr>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3F137D" w:rsidP="000516E8">
            <w:pPr>
              <w:jc w:val="center"/>
              <w:rPr>
                <w:rFonts w:ascii="Times New Roman" w:hAnsi="Times New Roman"/>
              </w:rPr>
            </w:pPr>
            <w:r>
              <w:rPr>
                <w:rFonts w:ascii="Times New Roman" w:hAnsi="Times New Roman"/>
              </w:rPr>
              <w:t>88</w:t>
            </w:r>
            <w:r w:rsidR="001C1518" w:rsidRPr="00E8556C">
              <w:rPr>
                <w:rFonts w:ascii="Times New Roman" w:hAnsi="Times New Roman"/>
              </w:rPr>
              <w:t>%</w:t>
            </w:r>
            <w:r w:rsidR="000516E8" w:rsidRPr="00E8556C">
              <w:rPr>
                <w:rFonts w:ascii="Times New Roman" w:hAnsi="Times New Roman"/>
              </w:rPr>
              <w:t xml:space="preserve"> ukupnog broja studenata</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3F137D" w:rsidP="000516E8">
            <w:pPr>
              <w:jc w:val="center"/>
              <w:rPr>
                <w:rFonts w:ascii="Times New Roman" w:hAnsi="Times New Roman"/>
              </w:rPr>
            </w:pPr>
            <w:r>
              <w:rPr>
                <w:rFonts w:ascii="Times New Roman" w:hAnsi="Times New Roman"/>
              </w:rPr>
              <w:t>90</w:t>
            </w:r>
            <w:r w:rsidR="000516E8" w:rsidRPr="00E8556C">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E8556C" w:rsidRDefault="004913C9" w:rsidP="000516E8">
            <w:pPr>
              <w:jc w:val="center"/>
              <w:rPr>
                <w:rFonts w:ascii="Times New Roman" w:hAnsi="Times New Roman"/>
              </w:rPr>
            </w:pPr>
            <w:r w:rsidRPr="004913C9">
              <w:rPr>
                <w:rFonts w:ascii="Times New Roman" w:eastAsia="Times New Roman" w:hAnsi="Times New Roman"/>
                <w:szCs w:val="24"/>
              </w:rPr>
              <w:t>83,54%</w:t>
            </w:r>
          </w:p>
        </w:tc>
        <w:tc>
          <w:tcPr>
            <w:tcW w:w="1021" w:type="dxa"/>
            <w:tcBorders>
              <w:top w:val="single" w:sz="4" w:space="0" w:color="auto"/>
              <w:left w:val="nil"/>
              <w:bottom w:val="single" w:sz="4" w:space="0" w:color="auto"/>
              <w:right w:val="single" w:sz="4" w:space="0" w:color="auto"/>
            </w:tcBorders>
            <w:noWrap/>
            <w:vAlign w:val="center"/>
          </w:tcPr>
          <w:p w:rsidR="000516E8" w:rsidRPr="00E8556C" w:rsidRDefault="00B55649" w:rsidP="000516E8">
            <w:pPr>
              <w:jc w:val="center"/>
              <w:rPr>
                <w:rFonts w:ascii="Times New Roman" w:hAnsi="Times New Roman"/>
              </w:rPr>
            </w:pPr>
            <w:r>
              <w:rPr>
                <w:rFonts w:ascii="Times New Roman" w:hAnsi="Times New Roman"/>
              </w:rPr>
              <w:t>92,82</w:t>
            </w:r>
          </w:p>
        </w:tc>
      </w:tr>
      <w:tr w:rsidR="00E8556C" w:rsidRPr="00E8556C"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E8556C" w:rsidRDefault="000516E8" w:rsidP="000516E8">
            <w:pPr>
              <w:jc w:val="center"/>
              <w:rPr>
                <w:rFonts w:ascii="Times New Roman" w:hAnsi="Times New Roman"/>
              </w:rPr>
            </w:pPr>
            <w:r w:rsidRPr="00E8556C">
              <w:rPr>
                <w:rFonts w:ascii="Times New Roman" w:hAnsi="Times New Roman"/>
              </w:rPr>
              <w:t>Razmjer broja upisanih i diplomiranih studenata</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Podizanje indeksa</w:t>
            </w:r>
          </w:p>
          <w:p w:rsidR="000516E8" w:rsidRPr="00E8556C" w:rsidRDefault="000516E8" w:rsidP="000516E8">
            <w:pPr>
              <w:jc w:val="center"/>
              <w:rPr>
                <w:rFonts w:ascii="Times New Roman" w:hAnsi="Times New Roman"/>
              </w:rPr>
            </w:pPr>
            <w:r w:rsidRPr="00E8556C">
              <w:rPr>
                <w:rFonts w:ascii="Times New Roman" w:hAnsi="Times New Roman"/>
              </w:rPr>
              <w:t>uspješnosti studiranja</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3F137D" w:rsidP="000516E8">
            <w:pPr>
              <w:jc w:val="center"/>
              <w:rPr>
                <w:rFonts w:ascii="Times New Roman" w:hAnsi="Times New Roman"/>
              </w:rPr>
            </w:pPr>
            <w:r>
              <w:rPr>
                <w:rFonts w:ascii="Times New Roman" w:hAnsi="Times New Roman"/>
              </w:rPr>
              <w:t>90,09</w:t>
            </w:r>
            <w:r w:rsidR="001C1518" w:rsidRPr="00E8556C">
              <w:rPr>
                <w:rFonts w:ascii="Times New Roman" w:hAnsi="Times New Roman"/>
              </w:rPr>
              <w:t>%</w:t>
            </w:r>
            <w:r w:rsidR="000516E8" w:rsidRPr="00E8556C">
              <w:rPr>
                <w:rFonts w:ascii="Times New Roman" w:hAnsi="Times New Roman"/>
              </w:rPr>
              <w:t xml:space="preserve"> (omjer broja upisanih studenata i onih koji završe studij)</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3F137D" w:rsidP="000516E8">
            <w:pPr>
              <w:jc w:val="center"/>
              <w:rPr>
                <w:rFonts w:ascii="Times New Roman" w:hAnsi="Times New Roman"/>
              </w:rPr>
            </w:pPr>
            <w:r>
              <w:rPr>
                <w:rFonts w:ascii="Times New Roman" w:hAnsi="Times New Roman"/>
              </w:rPr>
              <w:t>91</w:t>
            </w:r>
            <w:r w:rsidR="000516E8" w:rsidRPr="00E8556C">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E8556C" w:rsidRDefault="004913C9" w:rsidP="000516E8">
            <w:pPr>
              <w:jc w:val="center"/>
              <w:rPr>
                <w:rFonts w:ascii="Times New Roman" w:hAnsi="Times New Roman"/>
              </w:rPr>
            </w:pPr>
            <w:r w:rsidRPr="004913C9">
              <w:rPr>
                <w:rFonts w:ascii="Times New Roman" w:hAnsi="Times New Roman"/>
              </w:rPr>
              <w:t>92,59%</w:t>
            </w:r>
          </w:p>
        </w:tc>
        <w:tc>
          <w:tcPr>
            <w:tcW w:w="1021" w:type="dxa"/>
            <w:tcBorders>
              <w:top w:val="single" w:sz="4" w:space="0" w:color="auto"/>
              <w:left w:val="nil"/>
              <w:bottom w:val="single" w:sz="4" w:space="0" w:color="auto"/>
              <w:right w:val="single" w:sz="4" w:space="0" w:color="auto"/>
            </w:tcBorders>
            <w:noWrap/>
            <w:vAlign w:val="center"/>
          </w:tcPr>
          <w:p w:rsidR="000516E8" w:rsidRPr="00E8556C" w:rsidRDefault="00B55649" w:rsidP="000516E8">
            <w:pPr>
              <w:jc w:val="center"/>
              <w:rPr>
                <w:rFonts w:ascii="Times New Roman" w:hAnsi="Times New Roman"/>
              </w:rPr>
            </w:pPr>
            <w:r>
              <w:rPr>
                <w:rFonts w:ascii="Times New Roman" w:hAnsi="Times New Roman"/>
              </w:rPr>
              <w:t>101,74</w:t>
            </w:r>
          </w:p>
        </w:tc>
      </w:tr>
      <w:tr w:rsidR="00E8556C" w:rsidRPr="00E8556C" w:rsidTr="00CB04AF">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0516E8" w:rsidRPr="00E8556C" w:rsidRDefault="000516E8" w:rsidP="000516E8">
            <w:pPr>
              <w:jc w:val="center"/>
              <w:rPr>
                <w:rFonts w:ascii="Times New Roman" w:hAnsi="Times New Roman"/>
              </w:rPr>
            </w:pPr>
            <w:r w:rsidRPr="00E8556C">
              <w:rPr>
                <w:rFonts w:ascii="Times New Roman" w:hAnsi="Times New Roman"/>
              </w:rPr>
              <w:lastRenderedPageBreak/>
              <w:t>Broj studenata uključenih u ankete o kvaliteti nastave</w:t>
            </w:r>
          </w:p>
        </w:tc>
        <w:tc>
          <w:tcPr>
            <w:tcW w:w="1276"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Povećanje broja studenata uključenih u ankete o kvaliteti nastave</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0516E8" w:rsidP="000516E8">
            <w:pPr>
              <w:jc w:val="center"/>
              <w:rPr>
                <w:rFonts w:ascii="Times New Roman" w:hAnsi="Times New Roman"/>
              </w:rPr>
            </w:pPr>
            <w:r w:rsidRPr="00E8556C">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3F137D" w:rsidP="00D63715">
            <w:pPr>
              <w:jc w:val="center"/>
              <w:rPr>
                <w:rFonts w:ascii="Times New Roman" w:hAnsi="Times New Roman"/>
              </w:rPr>
            </w:pPr>
            <w:r>
              <w:rPr>
                <w:rFonts w:ascii="Times New Roman" w:hAnsi="Times New Roman"/>
              </w:rPr>
              <w:t>55</w:t>
            </w:r>
            <w:r w:rsidR="00D63715" w:rsidRPr="00E8556C">
              <w:rPr>
                <w:rFonts w:ascii="Times New Roman" w:hAnsi="Times New Roman"/>
              </w:rPr>
              <w:t>%</w:t>
            </w:r>
            <w:r w:rsidR="000516E8" w:rsidRPr="00E8556C">
              <w:rPr>
                <w:rFonts w:ascii="Times New Roman" w:hAnsi="Times New Roman"/>
              </w:rPr>
              <w:t xml:space="preserve"> ukupnog broja studenata</w:t>
            </w:r>
          </w:p>
        </w:tc>
        <w:tc>
          <w:tcPr>
            <w:tcW w:w="1276" w:type="dxa"/>
            <w:tcBorders>
              <w:top w:val="single" w:sz="4" w:space="0" w:color="auto"/>
              <w:left w:val="nil"/>
              <w:bottom w:val="single" w:sz="4" w:space="0" w:color="auto"/>
              <w:right w:val="single" w:sz="4" w:space="0" w:color="auto"/>
            </w:tcBorders>
            <w:noWrap/>
          </w:tcPr>
          <w:p w:rsidR="000516E8" w:rsidRPr="00E8556C" w:rsidRDefault="000516E8" w:rsidP="000516E8">
            <w:pPr>
              <w:jc w:val="center"/>
              <w:rPr>
                <w:rFonts w:ascii="Times New Roman" w:hAnsi="Times New Roman"/>
              </w:rPr>
            </w:pPr>
            <w:r w:rsidRPr="00E8556C">
              <w:rPr>
                <w:rFonts w:ascii="Times New Roman" w:hAnsi="Times New Roman"/>
              </w:rPr>
              <w:t>Prodekan za nastavu i studente / Prodekan za upravljanje kvalitetom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0516E8" w:rsidRPr="00E8556C" w:rsidRDefault="00C312C7" w:rsidP="003F137D">
            <w:pPr>
              <w:jc w:val="center"/>
              <w:rPr>
                <w:rFonts w:ascii="Times New Roman" w:hAnsi="Times New Roman"/>
              </w:rPr>
            </w:pPr>
            <w:r w:rsidRPr="00E8556C">
              <w:rPr>
                <w:rFonts w:ascii="Times New Roman" w:hAnsi="Times New Roman"/>
              </w:rPr>
              <w:t>6</w:t>
            </w:r>
            <w:r w:rsidR="003F137D">
              <w:rPr>
                <w:rFonts w:ascii="Times New Roman" w:hAnsi="Times New Roman"/>
              </w:rPr>
              <w:t>0</w:t>
            </w:r>
            <w:r w:rsidR="000516E8" w:rsidRPr="00E8556C">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0516E8" w:rsidRPr="00E8556C" w:rsidRDefault="001B550E" w:rsidP="000516E8">
            <w:pPr>
              <w:jc w:val="center"/>
              <w:rPr>
                <w:rFonts w:ascii="Times New Roman" w:hAnsi="Times New Roman"/>
              </w:rPr>
            </w:pPr>
            <w:r w:rsidRPr="001B550E">
              <w:rPr>
                <w:rFonts w:ascii="Times New Roman" w:hAnsi="Times New Roman"/>
              </w:rPr>
              <w:t>56,83%</w:t>
            </w:r>
          </w:p>
        </w:tc>
        <w:tc>
          <w:tcPr>
            <w:tcW w:w="1021" w:type="dxa"/>
            <w:tcBorders>
              <w:top w:val="single" w:sz="4" w:space="0" w:color="auto"/>
              <w:left w:val="nil"/>
              <w:bottom w:val="single" w:sz="4" w:space="0" w:color="auto"/>
              <w:right w:val="single" w:sz="4" w:space="0" w:color="auto"/>
            </w:tcBorders>
            <w:noWrap/>
            <w:vAlign w:val="center"/>
          </w:tcPr>
          <w:p w:rsidR="000516E8" w:rsidRPr="00E8556C" w:rsidRDefault="00B55649" w:rsidP="000516E8">
            <w:pPr>
              <w:jc w:val="center"/>
              <w:rPr>
                <w:rFonts w:ascii="Times New Roman" w:hAnsi="Times New Roman"/>
              </w:rPr>
            </w:pPr>
            <w:r>
              <w:rPr>
                <w:rFonts w:ascii="Times New Roman" w:hAnsi="Times New Roman"/>
              </w:rPr>
              <w:t>94,72</w:t>
            </w:r>
          </w:p>
        </w:tc>
      </w:tr>
    </w:tbl>
    <w:p w:rsidR="007471C0" w:rsidRDefault="00851D58" w:rsidP="00CE7265">
      <w:pPr>
        <w:spacing w:before="100" w:beforeAutospacing="1" w:after="100" w:afterAutospacing="1" w:line="276" w:lineRule="auto"/>
        <w:jc w:val="both"/>
        <w:rPr>
          <w:rFonts w:ascii="Times New Roman" w:eastAsia="Times New Roman" w:hAnsi="Times New Roman"/>
          <w:sz w:val="24"/>
          <w:szCs w:val="24"/>
        </w:rPr>
      </w:pPr>
      <w:r w:rsidRPr="00E8556C">
        <w:rPr>
          <w:rFonts w:ascii="Times New Roman" w:eastAsia="Times New Roman" w:hAnsi="Times New Roman"/>
          <w:b/>
          <w:bCs/>
          <w:sz w:val="24"/>
          <w:szCs w:val="24"/>
        </w:rPr>
        <w:t xml:space="preserve">Broj studenata koji su u prethodnoj akademskoj godini stekli minimalno 55 ECTS bodova (uspješnost studiranja) – </w:t>
      </w:r>
      <w:r w:rsidR="001E6487">
        <w:rPr>
          <w:rFonts w:ascii="Times New Roman" w:eastAsia="Times New Roman" w:hAnsi="Times New Roman"/>
          <w:sz w:val="24"/>
          <w:szCs w:val="24"/>
        </w:rPr>
        <w:t>u akademskoj godini 2024./2025. do dana 30. rujna 2025</w:t>
      </w:r>
      <w:r w:rsidRPr="00E8556C">
        <w:rPr>
          <w:rFonts w:ascii="Times New Roman" w:eastAsia="Times New Roman" w:hAnsi="Times New Roman"/>
          <w:sz w:val="24"/>
          <w:szCs w:val="24"/>
        </w:rPr>
        <w:t xml:space="preserve">. na Stomatološkom fakultetu u Zagrebu </w:t>
      </w:r>
      <w:r w:rsidR="00802147" w:rsidRPr="00E8556C">
        <w:rPr>
          <w:rFonts w:ascii="Times New Roman" w:eastAsia="Times New Roman" w:hAnsi="Times New Roman"/>
          <w:sz w:val="24"/>
          <w:szCs w:val="24"/>
        </w:rPr>
        <w:t xml:space="preserve">na </w:t>
      </w:r>
      <w:r w:rsidR="00CE7265" w:rsidRPr="00E8556C">
        <w:rPr>
          <w:rFonts w:ascii="Times New Roman" w:eastAsia="Times New Roman" w:hAnsi="Times New Roman"/>
          <w:sz w:val="24"/>
          <w:szCs w:val="24"/>
        </w:rPr>
        <w:t>sveučilišnom I</w:t>
      </w:r>
      <w:r w:rsidR="00802147" w:rsidRPr="00E8556C">
        <w:rPr>
          <w:rFonts w:ascii="Times New Roman" w:eastAsia="Times New Roman" w:hAnsi="Times New Roman"/>
          <w:sz w:val="24"/>
          <w:szCs w:val="24"/>
        </w:rPr>
        <w:t>ntegriranom prijediplomskom i diplomskom studiju Dentalna medicina (na hrvatskom) i Dental</w:t>
      </w:r>
      <w:r w:rsidR="009C2043">
        <w:rPr>
          <w:rFonts w:ascii="Times New Roman" w:eastAsia="Times New Roman" w:hAnsi="Times New Roman"/>
          <w:sz w:val="24"/>
          <w:szCs w:val="24"/>
        </w:rPr>
        <w:t xml:space="preserve"> medicine (na engleskom) upisan</w:t>
      </w:r>
      <w:r w:rsidR="00802147" w:rsidRPr="00E8556C">
        <w:rPr>
          <w:rFonts w:ascii="Times New Roman" w:eastAsia="Times New Roman" w:hAnsi="Times New Roman"/>
          <w:sz w:val="24"/>
          <w:szCs w:val="24"/>
        </w:rPr>
        <w:t xml:space="preserve"> </w:t>
      </w:r>
      <w:r w:rsidR="009C2043">
        <w:rPr>
          <w:rFonts w:ascii="Times New Roman" w:eastAsia="Times New Roman" w:hAnsi="Times New Roman"/>
          <w:sz w:val="24"/>
          <w:szCs w:val="24"/>
        </w:rPr>
        <w:t xml:space="preserve">je ukupno </w:t>
      </w:r>
      <w:r w:rsidR="009C2043" w:rsidRPr="004913C9">
        <w:rPr>
          <w:rFonts w:ascii="Times New Roman" w:eastAsia="Times New Roman" w:hAnsi="Times New Roman"/>
          <w:color w:val="000000" w:themeColor="text1"/>
          <w:sz w:val="24"/>
          <w:szCs w:val="24"/>
        </w:rPr>
        <w:t>6</w:t>
      </w:r>
      <w:r w:rsidR="004913C9" w:rsidRPr="004913C9">
        <w:rPr>
          <w:rFonts w:ascii="Times New Roman" w:eastAsia="Times New Roman" w:hAnsi="Times New Roman"/>
          <w:color w:val="000000" w:themeColor="text1"/>
          <w:sz w:val="24"/>
          <w:szCs w:val="24"/>
        </w:rPr>
        <w:t>44</w:t>
      </w:r>
      <w:r w:rsidR="009C2043" w:rsidRPr="004913C9">
        <w:rPr>
          <w:rFonts w:ascii="Times New Roman" w:eastAsia="Times New Roman" w:hAnsi="Times New Roman"/>
          <w:b/>
          <w:color w:val="000000" w:themeColor="text1"/>
          <w:sz w:val="24"/>
          <w:szCs w:val="24"/>
        </w:rPr>
        <w:t xml:space="preserve"> </w:t>
      </w:r>
      <w:r w:rsidR="009C2043" w:rsidRPr="004913C9">
        <w:rPr>
          <w:rFonts w:ascii="Times New Roman" w:eastAsia="Times New Roman" w:hAnsi="Times New Roman"/>
          <w:color w:val="000000" w:themeColor="text1"/>
          <w:sz w:val="24"/>
          <w:szCs w:val="24"/>
        </w:rPr>
        <w:t>student</w:t>
      </w:r>
      <w:r w:rsidR="009C2043" w:rsidRPr="001E6487">
        <w:rPr>
          <w:rFonts w:ascii="Times New Roman" w:eastAsia="Times New Roman" w:hAnsi="Times New Roman"/>
          <w:color w:val="FF0000"/>
          <w:sz w:val="24"/>
          <w:szCs w:val="24"/>
        </w:rPr>
        <w:t xml:space="preserve">, </w:t>
      </w:r>
      <w:r w:rsidR="009C2043" w:rsidRPr="002A2032">
        <w:rPr>
          <w:rFonts w:ascii="Times New Roman" w:eastAsia="Times New Roman" w:hAnsi="Times New Roman"/>
          <w:sz w:val="24"/>
          <w:szCs w:val="24"/>
        </w:rPr>
        <w:t>a od tog broja</w:t>
      </w:r>
      <w:r w:rsidR="00802147" w:rsidRPr="002A2032">
        <w:rPr>
          <w:rFonts w:ascii="Times New Roman" w:eastAsia="Times New Roman" w:hAnsi="Times New Roman"/>
          <w:sz w:val="24"/>
          <w:szCs w:val="24"/>
        </w:rPr>
        <w:t xml:space="preserve"> </w:t>
      </w:r>
      <w:r w:rsidR="00392970" w:rsidRPr="002A2032">
        <w:rPr>
          <w:rFonts w:ascii="Times New Roman" w:eastAsia="Times New Roman" w:hAnsi="Times New Roman"/>
          <w:sz w:val="24"/>
          <w:szCs w:val="24"/>
        </w:rPr>
        <w:t>538</w:t>
      </w:r>
      <w:r w:rsidR="00802147" w:rsidRPr="002A2032">
        <w:rPr>
          <w:rFonts w:ascii="Times New Roman" w:eastAsia="Times New Roman" w:hAnsi="Times New Roman"/>
          <w:sz w:val="24"/>
          <w:szCs w:val="24"/>
        </w:rPr>
        <w:t xml:space="preserve"> studenata (83</w:t>
      </w:r>
      <w:r w:rsidR="004913C9">
        <w:rPr>
          <w:rFonts w:ascii="Times New Roman" w:eastAsia="Times New Roman" w:hAnsi="Times New Roman"/>
          <w:sz w:val="24"/>
          <w:szCs w:val="24"/>
        </w:rPr>
        <w:t>,54</w:t>
      </w:r>
      <w:r w:rsidR="00802147" w:rsidRPr="002A2032">
        <w:rPr>
          <w:rFonts w:ascii="Times New Roman" w:eastAsia="Times New Roman" w:hAnsi="Times New Roman"/>
          <w:sz w:val="24"/>
          <w:szCs w:val="24"/>
        </w:rPr>
        <w:t>%) steklo</w:t>
      </w:r>
      <w:r w:rsidR="009C2043" w:rsidRPr="002A2032">
        <w:rPr>
          <w:rFonts w:ascii="Times New Roman" w:eastAsia="Times New Roman" w:hAnsi="Times New Roman"/>
          <w:sz w:val="24"/>
          <w:szCs w:val="24"/>
        </w:rPr>
        <w:t xml:space="preserve"> je</w:t>
      </w:r>
      <w:r w:rsidR="00802147" w:rsidRPr="002A2032">
        <w:rPr>
          <w:rFonts w:ascii="Times New Roman" w:eastAsia="Times New Roman" w:hAnsi="Times New Roman"/>
          <w:sz w:val="24"/>
          <w:szCs w:val="24"/>
        </w:rPr>
        <w:t xml:space="preserve"> više od 55 ECTS bodova i to po godinama </w:t>
      </w:r>
      <w:r w:rsidR="009C2043" w:rsidRPr="002A2032">
        <w:rPr>
          <w:rFonts w:ascii="Times New Roman" w:eastAsia="Times New Roman" w:hAnsi="Times New Roman"/>
          <w:sz w:val="24"/>
          <w:szCs w:val="24"/>
        </w:rPr>
        <w:t xml:space="preserve">studija: 1. godina – </w:t>
      </w:r>
      <w:r w:rsidR="00392970" w:rsidRPr="002A2032">
        <w:rPr>
          <w:rFonts w:ascii="Times New Roman" w:eastAsia="Times New Roman" w:hAnsi="Times New Roman"/>
          <w:sz w:val="24"/>
          <w:szCs w:val="24"/>
        </w:rPr>
        <w:t>71</w:t>
      </w:r>
      <w:r w:rsidR="009C2043" w:rsidRPr="002A2032">
        <w:rPr>
          <w:rFonts w:ascii="Times New Roman" w:eastAsia="Times New Roman" w:hAnsi="Times New Roman"/>
          <w:sz w:val="24"/>
          <w:szCs w:val="24"/>
        </w:rPr>
        <w:t xml:space="preserve"> studenata</w:t>
      </w:r>
      <w:r w:rsidR="00802147" w:rsidRPr="002A2032">
        <w:rPr>
          <w:rFonts w:ascii="Times New Roman" w:eastAsia="Times New Roman" w:hAnsi="Times New Roman"/>
          <w:sz w:val="24"/>
          <w:szCs w:val="24"/>
        </w:rPr>
        <w:t xml:space="preserve">; 2. godina – </w:t>
      </w:r>
      <w:r w:rsidR="00392970" w:rsidRPr="002A2032">
        <w:rPr>
          <w:rFonts w:ascii="Times New Roman" w:eastAsia="Times New Roman" w:hAnsi="Times New Roman"/>
          <w:sz w:val="24"/>
          <w:szCs w:val="24"/>
        </w:rPr>
        <w:t>79</w:t>
      </w:r>
      <w:r w:rsidR="00802147" w:rsidRPr="002A2032">
        <w:rPr>
          <w:rFonts w:ascii="Times New Roman" w:eastAsia="Times New Roman" w:hAnsi="Times New Roman"/>
          <w:sz w:val="24"/>
          <w:szCs w:val="24"/>
        </w:rPr>
        <w:t xml:space="preserve"> studen</w:t>
      </w:r>
      <w:r w:rsidR="009C2043" w:rsidRPr="002A2032">
        <w:rPr>
          <w:rFonts w:ascii="Times New Roman" w:eastAsia="Times New Roman" w:hAnsi="Times New Roman"/>
          <w:sz w:val="24"/>
          <w:szCs w:val="24"/>
        </w:rPr>
        <w:t>ata</w:t>
      </w:r>
      <w:r w:rsidR="00802147" w:rsidRPr="002A2032">
        <w:rPr>
          <w:rFonts w:ascii="Times New Roman" w:eastAsia="Times New Roman" w:hAnsi="Times New Roman"/>
          <w:sz w:val="24"/>
          <w:szCs w:val="24"/>
        </w:rPr>
        <w:t>; 3. godin</w:t>
      </w:r>
      <w:r w:rsidR="00392970" w:rsidRPr="002A2032">
        <w:rPr>
          <w:rFonts w:ascii="Times New Roman" w:eastAsia="Times New Roman" w:hAnsi="Times New Roman"/>
          <w:sz w:val="24"/>
          <w:szCs w:val="24"/>
        </w:rPr>
        <w:t>a - 88 studenata; 4. godina – 9</w:t>
      </w:r>
      <w:r w:rsidR="00802147" w:rsidRPr="002A2032">
        <w:rPr>
          <w:rFonts w:ascii="Times New Roman" w:eastAsia="Times New Roman" w:hAnsi="Times New Roman"/>
          <w:sz w:val="24"/>
          <w:szCs w:val="24"/>
        </w:rPr>
        <w:t>3 studenata; 5. godina – 10</w:t>
      </w:r>
      <w:r w:rsidR="00392970" w:rsidRPr="002A2032">
        <w:rPr>
          <w:rFonts w:ascii="Times New Roman" w:eastAsia="Times New Roman" w:hAnsi="Times New Roman"/>
          <w:sz w:val="24"/>
          <w:szCs w:val="24"/>
        </w:rPr>
        <w:t>2</w:t>
      </w:r>
      <w:r w:rsidR="00802147" w:rsidRPr="002A2032">
        <w:rPr>
          <w:rFonts w:ascii="Times New Roman" w:eastAsia="Times New Roman" w:hAnsi="Times New Roman"/>
          <w:sz w:val="24"/>
          <w:szCs w:val="24"/>
        </w:rPr>
        <w:t xml:space="preserve"> studenata i 6. godina - 105 studenata. </w:t>
      </w:r>
    </w:p>
    <w:p w:rsidR="00E531F6" w:rsidRDefault="00CE7265" w:rsidP="00CE7265">
      <w:pPr>
        <w:spacing w:before="100" w:beforeAutospacing="1" w:after="100" w:afterAutospacing="1" w:line="276" w:lineRule="auto"/>
        <w:jc w:val="both"/>
        <w:rPr>
          <w:rFonts w:ascii="Times New Roman" w:eastAsia="Times New Roman" w:hAnsi="Times New Roman"/>
          <w:sz w:val="24"/>
          <w:szCs w:val="24"/>
        </w:rPr>
      </w:pPr>
      <w:r w:rsidRPr="00E8556C">
        <w:rPr>
          <w:rFonts w:ascii="Times New Roman" w:eastAsia="Times New Roman" w:hAnsi="Times New Roman"/>
          <w:b/>
          <w:bCs/>
          <w:sz w:val="24"/>
          <w:szCs w:val="24"/>
        </w:rPr>
        <w:t xml:space="preserve">Omjer broja završenih studenata u akademskoj godini i broja studenata upisanih u prvu godinu te akademske godine – </w:t>
      </w:r>
      <w:r w:rsidRPr="002A2032">
        <w:rPr>
          <w:rFonts w:ascii="Times New Roman" w:eastAsia="Times New Roman" w:hAnsi="Times New Roman"/>
          <w:sz w:val="24"/>
          <w:szCs w:val="24"/>
        </w:rPr>
        <w:t xml:space="preserve">Stomatološki fakultet u Zagrebu upisuje u prvu godinu sveučilišnog Integriranog studija Dentalna medicina na hrvatskom jeziku 85 studenata, </w:t>
      </w:r>
      <w:r w:rsidR="002A2032" w:rsidRPr="002A2032">
        <w:rPr>
          <w:rFonts w:ascii="Times New Roman" w:eastAsia="Times New Roman" w:hAnsi="Times New Roman"/>
          <w:sz w:val="24"/>
          <w:szCs w:val="24"/>
        </w:rPr>
        <w:t xml:space="preserve">a na integriranom studiju Dental medicine 24 studenta, </w:t>
      </w:r>
      <w:r w:rsidRPr="002A2032">
        <w:rPr>
          <w:rFonts w:ascii="Times New Roman" w:eastAsia="Times New Roman" w:hAnsi="Times New Roman"/>
          <w:sz w:val="24"/>
          <w:szCs w:val="24"/>
        </w:rPr>
        <w:t>dok su ove godine upisana ukupno 10</w:t>
      </w:r>
      <w:r w:rsidR="00F66232" w:rsidRPr="002A2032">
        <w:rPr>
          <w:rFonts w:ascii="Times New Roman" w:eastAsia="Times New Roman" w:hAnsi="Times New Roman"/>
          <w:sz w:val="24"/>
          <w:szCs w:val="24"/>
        </w:rPr>
        <w:t>8</w:t>
      </w:r>
      <w:r w:rsidRPr="002A2032">
        <w:rPr>
          <w:rFonts w:ascii="Times New Roman" w:eastAsia="Times New Roman" w:hAnsi="Times New Roman"/>
          <w:sz w:val="24"/>
          <w:szCs w:val="24"/>
        </w:rPr>
        <w:t xml:space="preserve"> </w:t>
      </w:r>
      <w:r w:rsidR="00F66232" w:rsidRPr="002A2032">
        <w:rPr>
          <w:rFonts w:ascii="Times New Roman" w:eastAsia="Times New Roman" w:hAnsi="Times New Roman"/>
          <w:sz w:val="24"/>
          <w:szCs w:val="24"/>
        </w:rPr>
        <w:t>studen</w:t>
      </w:r>
      <w:r w:rsidRPr="002A2032">
        <w:rPr>
          <w:rFonts w:ascii="Times New Roman" w:eastAsia="Times New Roman" w:hAnsi="Times New Roman"/>
          <w:sz w:val="24"/>
          <w:szCs w:val="24"/>
        </w:rPr>
        <w:t>ta u akademsku godinu 202</w:t>
      </w:r>
      <w:r w:rsidR="001E6487" w:rsidRPr="002A2032">
        <w:rPr>
          <w:rFonts w:ascii="Times New Roman" w:eastAsia="Times New Roman" w:hAnsi="Times New Roman"/>
          <w:sz w:val="24"/>
          <w:szCs w:val="24"/>
        </w:rPr>
        <w:t>4./25</w:t>
      </w:r>
      <w:r w:rsidRPr="002A2032">
        <w:rPr>
          <w:rFonts w:ascii="Times New Roman" w:eastAsia="Times New Roman" w:hAnsi="Times New Roman"/>
          <w:sz w:val="24"/>
          <w:szCs w:val="24"/>
        </w:rPr>
        <w:t xml:space="preserve">. </w:t>
      </w:r>
      <w:r w:rsidR="002A2032" w:rsidRPr="002A2032">
        <w:rPr>
          <w:rFonts w:ascii="Times New Roman" w:eastAsia="Times New Roman" w:hAnsi="Times New Roman"/>
          <w:sz w:val="24"/>
          <w:szCs w:val="24"/>
        </w:rPr>
        <w:t>na studijima na hrvatskom i engleskom jeziku.</w:t>
      </w:r>
      <w:r w:rsidR="001E6487" w:rsidRPr="002A2032">
        <w:rPr>
          <w:rFonts w:ascii="Times New Roman" w:eastAsia="Times New Roman" w:hAnsi="Times New Roman"/>
          <w:sz w:val="24"/>
          <w:szCs w:val="24"/>
        </w:rPr>
        <w:t xml:space="preserve"> Akademske godine 2024./25</w:t>
      </w:r>
      <w:r w:rsidRPr="002A2032">
        <w:rPr>
          <w:rFonts w:ascii="Times New Roman" w:eastAsia="Times New Roman" w:hAnsi="Times New Roman"/>
          <w:sz w:val="24"/>
          <w:szCs w:val="24"/>
        </w:rPr>
        <w:t xml:space="preserve">. </w:t>
      </w:r>
      <w:r w:rsidR="001E6487" w:rsidRPr="002A2032">
        <w:rPr>
          <w:rFonts w:ascii="Times New Roman" w:eastAsia="Times New Roman" w:hAnsi="Times New Roman"/>
          <w:sz w:val="24"/>
          <w:szCs w:val="24"/>
        </w:rPr>
        <w:t>diplomiralo je do 30. rujna 2025</w:t>
      </w:r>
      <w:r w:rsidR="00E8556C" w:rsidRPr="002A2032">
        <w:rPr>
          <w:rFonts w:ascii="Times New Roman" w:eastAsia="Times New Roman" w:hAnsi="Times New Roman"/>
          <w:sz w:val="24"/>
          <w:szCs w:val="24"/>
        </w:rPr>
        <w:t xml:space="preserve">.g., ukupno </w:t>
      </w:r>
      <w:r w:rsidRPr="002A2032">
        <w:rPr>
          <w:rFonts w:ascii="Times New Roman" w:eastAsia="Times New Roman" w:hAnsi="Times New Roman"/>
          <w:sz w:val="24"/>
          <w:szCs w:val="24"/>
        </w:rPr>
        <w:t xml:space="preserve">100 studenata što </w:t>
      </w:r>
      <w:r w:rsidR="009C2043" w:rsidRPr="002A2032">
        <w:rPr>
          <w:rFonts w:ascii="Times New Roman" w:eastAsia="Times New Roman" w:hAnsi="Times New Roman"/>
          <w:sz w:val="24"/>
          <w:szCs w:val="24"/>
        </w:rPr>
        <w:t xml:space="preserve">čini </w:t>
      </w:r>
      <w:proofErr w:type="spellStart"/>
      <w:r w:rsidRPr="002A2032">
        <w:rPr>
          <w:rFonts w:ascii="Times New Roman" w:eastAsia="Times New Roman" w:hAnsi="Times New Roman"/>
          <w:sz w:val="24"/>
          <w:szCs w:val="24"/>
        </w:rPr>
        <w:t>srazmjer</w:t>
      </w:r>
      <w:proofErr w:type="spellEnd"/>
      <w:r w:rsidRPr="002A2032">
        <w:rPr>
          <w:rFonts w:ascii="Times New Roman" w:eastAsia="Times New Roman" w:hAnsi="Times New Roman"/>
          <w:sz w:val="24"/>
          <w:szCs w:val="24"/>
        </w:rPr>
        <w:t xml:space="preserve"> broja </w:t>
      </w:r>
      <w:proofErr w:type="spellStart"/>
      <w:r w:rsidRPr="002A2032">
        <w:rPr>
          <w:rFonts w:ascii="Times New Roman" w:eastAsia="Times New Roman" w:hAnsi="Times New Roman"/>
          <w:sz w:val="24"/>
          <w:szCs w:val="24"/>
        </w:rPr>
        <w:t>prvoupisanih</w:t>
      </w:r>
      <w:proofErr w:type="spellEnd"/>
      <w:r w:rsidR="00E8556C" w:rsidRPr="002A2032">
        <w:rPr>
          <w:rFonts w:ascii="Times New Roman" w:eastAsia="Times New Roman" w:hAnsi="Times New Roman"/>
          <w:sz w:val="24"/>
          <w:szCs w:val="24"/>
        </w:rPr>
        <w:t xml:space="preserve"> i diplomiranih studenata </w:t>
      </w:r>
      <w:r w:rsidRPr="002A2032">
        <w:rPr>
          <w:rFonts w:ascii="Times New Roman" w:eastAsia="Times New Roman" w:hAnsi="Times New Roman"/>
          <w:sz w:val="24"/>
          <w:szCs w:val="24"/>
        </w:rPr>
        <w:t>9</w:t>
      </w:r>
      <w:r w:rsidR="00F66232" w:rsidRPr="002A2032">
        <w:rPr>
          <w:rFonts w:ascii="Times New Roman" w:eastAsia="Times New Roman" w:hAnsi="Times New Roman"/>
          <w:sz w:val="24"/>
          <w:szCs w:val="24"/>
        </w:rPr>
        <w:t>2</w:t>
      </w:r>
      <w:r w:rsidRPr="002A2032">
        <w:rPr>
          <w:rFonts w:ascii="Times New Roman" w:eastAsia="Times New Roman" w:hAnsi="Times New Roman"/>
          <w:sz w:val="24"/>
          <w:szCs w:val="24"/>
        </w:rPr>
        <w:t>,</w:t>
      </w:r>
      <w:r w:rsidR="00F66232" w:rsidRPr="002A2032">
        <w:rPr>
          <w:rFonts w:ascii="Times New Roman" w:eastAsia="Times New Roman" w:hAnsi="Times New Roman"/>
          <w:sz w:val="24"/>
          <w:szCs w:val="24"/>
        </w:rPr>
        <w:t>5</w:t>
      </w:r>
      <w:r w:rsidRPr="002A2032">
        <w:rPr>
          <w:rFonts w:ascii="Times New Roman" w:eastAsia="Times New Roman" w:hAnsi="Times New Roman"/>
          <w:sz w:val="24"/>
          <w:szCs w:val="24"/>
        </w:rPr>
        <w:t>9%.</w:t>
      </w:r>
    </w:p>
    <w:p w:rsidR="00E531F6" w:rsidRPr="00E531F6" w:rsidRDefault="00E531F6" w:rsidP="00E531F6">
      <w:pPr>
        <w:shd w:val="clear" w:color="auto" w:fill="FFFFFF"/>
        <w:spacing w:line="253" w:lineRule="atLeast"/>
        <w:jc w:val="both"/>
        <w:rPr>
          <w:rFonts w:eastAsia="Times New Roman" w:cs="Calibri"/>
          <w:color w:val="222222"/>
          <w:sz w:val="24"/>
          <w:szCs w:val="24"/>
          <w:lang w:val="en-US"/>
        </w:rPr>
      </w:pPr>
      <w:r w:rsidRPr="00E531F6">
        <w:rPr>
          <w:rFonts w:ascii="Times New Roman" w:eastAsia="Times New Roman" w:hAnsi="Times New Roman"/>
          <w:b/>
          <w:bCs/>
          <w:color w:val="222222"/>
          <w:sz w:val="24"/>
          <w:szCs w:val="24"/>
        </w:rPr>
        <w:t>Broj studenata uključenih u ankete o kvaliteti nastave</w:t>
      </w:r>
      <w:r w:rsidRPr="00E531F6">
        <w:rPr>
          <w:rFonts w:ascii="Times New Roman" w:eastAsia="Times New Roman" w:hAnsi="Times New Roman"/>
          <w:color w:val="222222"/>
          <w:sz w:val="24"/>
          <w:szCs w:val="24"/>
        </w:rPr>
        <w:t> - u akademskoj godini 2024./2025. do dana 30. rujna 2025.g. na Stomatološkom fakultetu u Zagrebu izvršene su 2 online ankete studenata o kvaliteti nastave na svih 6 godina studija na hrvatskom i engleskom jeziku za sve obavezne i izborne kolegije. U anketi o kvalitete nastave na studiju Dentalna medicina na hrvatskom jeziku ukupno je sudjelovalo 304 studenta, dok je u</w:t>
      </w:r>
      <w:r w:rsidRPr="00E531F6">
        <w:rPr>
          <w:rFonts w:ascii="Times New Roman" w:eastAsia="Times New Roman" w:hAnsi="Times New Roman"/>
          <w:color w:val="222222"/>
          <w:sz w:val="24"/>
          <w:szCs w:val="24"/>
          <w:lang w:val="en-US"/>
        </w:rPr>
        <w:t> </w:t>
      </w:r>
      <w:proofErr w:type="spellStart"/>
      <w:r w:rsidRPr="00E531F6">
        <w:rPr>
          <w:rFonts w:ascii="Times New Roman" w:eastAsia="Times New Roman" w:hAnsi="Times New Roman"/>
          <w:color w:val="222222"/>
          <w:sz w:val="24"/>
          <w:szCs w:val="24"/>
          <w:lang w:val="en-US"/>
        </w:rPr>
        <w:t>anketi</w:t>
      </w:r>
      <w:proofErr w:type="spellEnd"/>
      <w:r w:rsidRPr="00E531F6">
        <w:rPr>
          <w:rFonts w:ascii="Times New Roman" w:eastAsia="Times New Roman" w:hAnsi="Times New Roman"/>
          <w:color w:val="222222"/>
          <w:sz w:val="24"/>
          <w:szCs w:val="24"/>
          <w:lang w:val="en-US"/>
        </w:rPr>
        <w:t xml:space="preserve"> o </w:t>
      </w:r>
      <w:proofErr w:type="spellStart"/>
      <w:r w:rsidRPr="00E531F6">
        <w:rPr>
          <w:rFonts w:ascii="Times New Roman" w:eastAsia="Times New Roman" w:hAnsi="Times New Roman"/>
          <w:color w:val="222222"/>
          <w:sz w:val="24"/>
          <w:szCs w:val="24"/>
          <w:lang w:val="en-US"/>
        </w:rPr>
        <w:t>kvalitete</w:t>
      </w:r>
      <w:proofErr w:type="spellEnd"/>
      <w:r w:rsidRPr="00E531F6">
        <w:rPr>
          <w:rFonts w:ascii="Times New Roman" w:eastAsia="Times New Roman" w:hAnsi="Times New Roman"/>
          <w:color w:val="222222"/>
          <w:sz w:val="24"/>
          <w:szCs w:val="24"/>
          <w:lang w:val="en-US"/>
        </w:rPr>
        <w:t xml:space="preserve"> </w:t>
      </w:r>
      <w:proofErr w:type="spellStart"/>
      <w:r w:rsidRPr="00E531F6">
        <w:rPr>
          <w:rFonts w:ascii="Times New Roman" w:eastAsia="Times New Roman" w:hAnsi="Times New Roman"/>
          <w:color w:val="222222"/>
          <w:sz w:val="24"/>
          <w:szCs w:val="24"/>
          <w:lang w:val="en-US"/>
        </w:rPr>
        <w:t>nastave</w:t>
      </w:r>
      <w:proofErr w:type="spellEnd"/>
      <w:r w:rsidRPr="00E531F6">
        <w:rPr>
          <w:rFonts w:ascii="Times New Roman" w:eastAsia="Times New Roman" w:hAnsi="Times New Roman"/>
          <w:color w:val="222222"/>
          <w:sz w:val="24"/>
          <w:szCs w:val="24"/>
          <w:lang w:val="en-US"/>
        </w:rPr>
        <w:t xml:space="preserve"> </w:t>
      </w:r>
      <w:proofErr w:type="spellStart"/>
      <w:r w:rsidRPr="00E531F6">
        <w:rPr>
          <w:rFonts w:ascii="Times New Roman" w:eastAsia="Times New Roman" w:hAnsi="Times New Roman"/>
          <w:color w:val="222222"/>
          <w:sz w:val="24"/>
          <w:szCs w:val="24"/>
          <w:lang w:val="en-US"/>
        </w:rPr>
        <w:t>na</w:t>
      </w:r>
      <w:proofErr w:type="spellEnd"/>
      <w:r w:rsidRPr="00E531F6">
        <w:rPr>
          <w:rFonts w:ascii="Times New Roman" w:eastAsia="Times New Roman" w:hAnsi="Times New Roman"/>
          <w:color w:val="222222"/>
          <w:sz w:val="24"/>
          <w:szCs w:val="24"/>
          <w:lang w:val="en-US"/>
        </w:rPr>
        <w:t xml:space="preserve"> </w:t>
      </w:r>
      <w:proofErr w:type="spellStart"/>
      <w:r w:rsidRPr="00E531F6">
        <w:rPr>
          <w:rFonts w:ascii="Times New Roman" w:eastAsia="Times New Roman" w:hAnsi="Times New Roman"/>
          <w:color w:val="222222"/>
          <w:sz w:val="24"/>
          <w:szCs w:val="24"/>
          <w:lang w:val="en-US"/>
        </w:rPr>
        <w:t>studiju</w:t>
      </w:r>
      <w:proofErr w:type="spellEnd"/>
      <w:r w:rsidRPr="00E531F6">
        <w:rPr>
          <w:rFonts w:ascii="Times New Roman" w:eastAsia="Times New Roman" w:hAnsi="Times New Roman"/>
          <w:color w:val="222222"/>
          <w:sz w:val="24"/>
          <w:szCs w:val="24"/>
          <w:lang w:val="en-US"/>
        </w:rPr>
        <w:t xml:space="preserve"> Dental medicine </w:t>
      </w:r>
      <w:proofErr w:type="spellStart"/>
      <w:r w:rsidRPr="00E531F6">
        <w:rPr>
          <w:rFonts w:ascii="Times New Roman" w:eastAsia="Times New Roman" w:hAnsi="Times New Roman"/>
          <w:color w:val="222222"/>
          <w:sz w:val="24"/>
          <w:szCs w:val="24"/>
          <w:lang w:val="en-US"/>
        </w:rPr>
        <w:t>na</w:t>
      </w:r>
      <w:proofErr w:type="spellEnd"/>
      <w:r w:rsidRPr="00E531F6">
        <w:rPr>
          <w:rFonts w:ascii="Times New Roman" w:eastAsia="Times New Roman" w:hAnsi="Times New Roman"/>
          <w:color w:val="222222"/>
          <w:sz w:val="24"/>
          <w:szCs w:val="24"/>
          <w:lang w:val="en-US"/>
        </w:rPr>
        <w:t xml:space="preserve"> </w:t>
      </w:r>
      <w:proofErr w:type="spellStart"/>
      <w:r w:rsidRPr="00E531F6">
        <w:rPr>
          <w:rFonts w:ascii="Times New Roman" w:eastAsia="Times New Roman" w:hAnsi="Times New Roman"/>
          <w:color w:val="222222"/>
          <w:sz w:val="24"/>
          <w:szCs w:val="24"/>
          <w:lang w:val="en-US"/>
        </w:rPr>
        <w:t>engleskom</w:t>
      </w:r>
      <w:proofErr w:type="spellEnd"/>
      <w:r w:rsidRPr="00E531F6">
        <w:rPr>
          <w:rFonts w:ascii="Times New Roman" w:eastAsia="Times New Roman" w:hAnsi="Times New Roman"/>
          <w:color w:val="222222"/>
          <w:sz w:val="24"/>
          <w:szCs w:val="24"/>
          <w:lang w:val="en-US"/>
        </w:rPr>
        <w:t xml:space="preserve"> </w:t>
      </w:r>
      <w:proofErr w:type="spellStart"/>
      <w:r w:rsidRPr="00E531F6">
        <w:rPr>
          <w:rFonts w:ascii="Times New Roman" w:eastAsia="Times New Roman" w:hAnsi="Times New Roman"/>
          <w:color w:val="222222"/>
          <w:sz w:val="24"/>
          <w:szCs w:val="24"/>
          <w:lang w:val="en-US"/>
        </w:rPr>
        <w:t>jeziku</w:t>
      </w:r>
      <w:proofErr w:type="spellEnd"/>
      <w:r w:rsidRPr="00E531F6">
        <w:rPr>
          <w:rFonts w:ascii="Times New Roman" w:eastAsia="Times New Roman" w:hAnsi="Times New Roman"/>
          <w:color w:val="222222"/>
          <w:sz w:val="24"/>
          <w:szCs w:val="24"/>
          <w:lang w:val="en-US"/>
        </w:rPr>
        <w:t xml:space="preserve"> </w:t>
      </w:r>
      <w:proofErr w:type="spellStart"/>
      <w:r w:rsidRPr="00E531F6">
        <w:rPr>
          <w:rFonts w:ascii="Times New Roman" w:eastAsia="Times New Roman" w:hAnsi="Times New Roman"/>
          <w:color w:val="222222"/>
          <w:sz w:val="24"/>
          <w:szCs w:val="24"/>
          <w:lang w:val="en-US"/>
        </w:rPr>
        <w:t>ukupno</w:t>
      </w:r>
      <w:proofErr w:type="spellEnd"/>
      <w:r w:rsidRPr="00E531F6">
        <w:rPr>
          <w:rFonts w:ascii="Times New Roman" w:eastAsia="Times New Roman" w:hAnsi="Times New Roman"/>
          <w:color w:val="222222"/>
          <w:sz w:val="24"/>
          <w:szCs w:val="24"/>
          <w:lang w:val="en-US"/>
        </w:rPr>
        <w:t xml:space="preserve"> je </w:t>
      </w:r>
      <w:proofErr w:type="spellStart"/>
      <w:r w:rsidRPr="00E531F6">
        <w:rPr>
          <w:rFonts w:ascii="Times New Roman" w:eastAsia="Times New Roman" w:hAnsi="Times New Roman"/>
          <w:color w:val="222222"/>
          <w:sz w:val="24"/>
          <w:szCs w:val="24"/>
          <w:lang w:val="en-US"/>
        </w:rPr>
        <w:t>sudjelovalo</w:t>
      </w:r>
      <w:proofErr w:type="spellEnd"/>
      <w:r w:rsidRPr="00E531F6">
        <w:rPr>
          <w:rFonts w:ascii="Times New Roman" w:eastAsia="Times New Roman" w:hAnsi="Times New Roman"/>
          <w:color w:val="222222"/>
          <w:sz w:val="24"/>
          <w:szCs w:val="24"/>
          <w:lang w:val="en-US"/>
        </w:rPr>
        <w:t xml:space="preserve"> 62 </w:t>
      </w:r>
      <w:proofErr w:type="spellStart"/>
      <w:r w:rsidRPr="00E531F6">
        <w:rPr>
          <w:rFonts w:ascii="Times New Roman" w:eastAsia="Times New Roman" w:hAnsi="Times New Roman"/>
          <w:color w:val="222222"/>
          <w:sz w:val="24"/>
          <w:szCs w:val="24"/>
          <w:lang w:val="en-US"/>
        </w:rPr>
        <w:t>studenta</w:t>
      </w:r>
      <w:proofErr w:type="spellEnd"/>
      <w:r w:rsidR="001B550E">
        <w:rPr>
          <w:rFonts w:ascii="Times New Roman" w:eastAsia="Times New Roman" w:hAnsi="Times New Roman"/>
          <w:color w:val="222222"/>
          <w:sz w:val="24"/>
          <w:szCs w:val="24"/>
          <w:lang w:val="en-US"/>
        </w:rPr>
        <w:t xml:space="preserve">. </w:t>
      </w:r>
      <w:proofErr w:type="spellStart"/>
      <w:r w:rsidR="001B550E">
        <w:rPr>
          <w:rFonts w:ascii="Times New Roman" w:eastAsia="Times New Roman" w:hAnsi="Times New Roman"/>
          <w:color w:val="222222"/>
          <w:sz w:val="24"/>
          <w:szCs w:val="24"/>
          <w:lang w:val="en-US"/>
        </w:rPr>
        <w:t>Ukupno</w:t>
      </w:r>
      <w:proofErr w:type="spellEnd"/>
      <w:r w:rsidR="001B550E">
        <w:rPr>
          <w:rFonts w:ascii="Times New Roman" w:eastAsia="Times New Roman" w:hAnsi="Times New Roman"/>
          <w:color w:val="222222"/>
          <w:sz w:val="24"/>
          <w:szCs w:val="24"/>
          <w:lang w:val="en-US"/>
        </w:rPr>
        <w:t xml:space="preserve"> je u </w:t>
      </w:r>
      <w:proofErr w:type="spellStart"/>
      <w:r w:rsidR="001B550E">
        <w:rPr>
          <w:rFonts w:ascii="Times New Roman" w:eastAsia="Times New Roman" w:hAnsi="Times New Roman"/>
          <w:color w:val="222222"/>
          <w:sz w:val="24"/>
          <w:szCs w:val="24"/>
          <w:lang w:val="en-US"/>
        </w:rPr>
        <w:t>anketama</w:t>
      </w:r>
      <w:proofErr w:type="spellEnd"/>
      <w:r w:rsidR="001B550E">
        <w:rPr>
          <w:rFonts w:ascii="Times New Roman" w:eastAsia="Times New Roman" w:hAnsi="Times New Roman"/>
          <w:color w:val="222222"/>
          <w:sz w:val="24"/>
          <w:szCs w:val="24"/>
          <w:lang w:val="en-US"/>
        </w:rPr>
        <w:t xml:space="preserve"> </w:t>
      </w:r>
      <w:r w:rsidR="001B550E" w:rsidRPr="00E531F6">
        <w:rPr>
          <w:rFonts w:ascii="Times New Roman" w:eastAsia="Times New Roman" w:hAnsi="Times New Roman"/>
          <w:color w:val="222222"/>
          <w:sz w:val="24"/>
          <w:szCs w:val="24"/>
          <w:lang w:val="en-US"/>
        </w:rPr>
        <w:t xml:space="preserve">o </w:t>
      </w:r>
      <w:proofErr w:type="spellStart"/>
      <w:r w:rsidR="001B550E" w:rsidRPr="00E531F6">
        <w:rPr>
          <w:rFonts w:ascii="Times New Roman" w:eastAsia="Times New Roman" w:hAnsi="Times New Roman"/>
          <w:color w:val="222222"/>
          <w:sz w:val="24"/>
          <w:szCs w:val="24"/>
          <w:lang w:val="en-US"/>
        </w:rPr>
        <w:t>kvalitete</w:t>
      </w:r>
      <w:proofErr w:type="spellEnd"/>
      <w:r w:rsidR="001B550E" w:rsidRPr="00E531F6">
        <w:rPr>
          <w:rFonts w:ascii="Times New Roman" w:eastAsia="Times New Roman" w:hAnsi="Times New Roman"/>
          <w:color w:val="222222"/>
          <w:sz w:val="24"/>
          <w:szCs w:val="24"/>
          <w:lang w:val="en-US"/>
        </w:rPr>
        <w:t xml:space="preserve"> </w:t>
      </w:r>
      <w:proofErr w:type="spellStart"/>
      <w:r w:rsidR="001B550E" w:rsidRPr="00E531F6">
        <w:rPr>
          <w:rFonts w:ascii="Times New Roman" w:eastAsia="Times New Roman" w:hAnsi="Times New Roman"/>
          <w:color w:val="222222"/>
          <w:sz w:val="24"/>
          <w:szCs w:val="24"/>
          <w:lang w:val="en-US"/>
        </w:rPr>
        <w:t>nastave</w:t>
      </w:r>
      <w:proofErr w:type="spellEnd"/>
      <w:r w:rsidR="001B550E" w:rsidRPr="00E531F6">
        <w:rPr>
          <w:rFonts w:ascii="Times New Roman" w:eastAsia="Times New Roman" w:hAnsi="Times New Roman"/>
          <w:color w:val="222222"/>
          <w:sz w:val="24"/>
          <w:szCs w:val="24"/>
          <w:lang w:val="en-US"/>
        </w:rPr>
        <w:t xml:space="preserve"> </w:t>
      </w:r>
      <w:proofErr w:type="spellStart"/>
      <w:r w:rsidR="001B550E">
        <w:rPr>
          <w:rFonts w:ascii="Times New Roman" w:eastAsia="Times New Roman" w:hAnsi="Times New Roman"/>
          <w:color w:val="222222"/>
          <w:sz w:val="24"/>
          <w:szCs w:val="24"/>
          <w:lang w:val="en-US"/>
        </w:rPr>
        <w:t>sudjelovalo</w:t>
      </w:r>
      <w:proofErr w:type="spellEnd"/>
      <w:r w:rsidR="001B550E">
        <w:rPr>
          <w:rFonts w:ascii="Times New Roman" w:eastAsia="Times New Roman" w:hAnsi="Times New Roman"/>
          <w:color w:val="222222"/>
          <w:sz w:val="24"/>
          <w:szCs w:val="24"/>
          <w:lang w:val="en-US"/>
        </w:rPr>
        <w:t xml:space="preserve"> 56,83% </w:t>
      </w:r>
      <w:proofErr w:type="spellStart"/>
      <w:r w:rsidR="001B550E">
        <w:rPr>
          <w:rFonts w:ascii="Times New Roman" w:eastAsia="Times New Roman" w:hAnsi="Times New Roman"/>
          <w:color w:val="222222"/>
          <w:sz w:val="24"/>
          <w:szCs w:val="24"/>
          <w:lang w:val="en-US"/>
        </w:rPr>
        <w:t>studenata</w:t>
      </w:r>
      <w:proofErr w:type="spellEnd"/>
      <w:r w:rsidR="001B550E">
        <w:rPr>
          <w:rFonts w:ascii="Times New Roman" w:eastAsia="Times New Roman" w:hAnsi="Times New Roman"/>
          <w:color w:val="222222"/>
          <w:sz w:val="24"/>
          <w:szCs w:val="24"/>
          <w:lang w:val="en-US"/>
        </w:rPr>
        <w:t>.</w:t>
      </w:r>
    </w:p>
    <w:p w:rsidR="00E531F6" w:rsidRPr="00E8556C" w:rsidRDefault="00E531F6" w:rsidP="001518B2">
      <w:pPr>
        <w:spacing w:line="276" w:lineRule="auto"/>
        <w:jc w:val="both"/>
        <w:rPr>
          <w:rFonts w:ascii="Times New Roman" w:hAnsi="Times New Roman"/>
          <w:sz w:val="24"/>
          <w:szCs w:val="24"/>
        </w:rPr>
      </w:pPr>
    </w:p>
    <w:p w:rsidR="001518B2" w:rsidRPr="00E8556C" w:rsidRDefault="001518B2" w:rsidP="001518B2">
      <w:pPr>
        <w:jc w:val="both"/>
        <w:rPr>
          <w:rFonts w:ascii="Times New Roman" w:hAnsi="Times New Roman"/>
          <w:b/>
          <w:bCs/>
          <w:sz w:val="24"/>
          <w:szCs w:val="24"/>
        </w:rPr>
      </w:pPr>
      <w:r w:rsidRPr="00E8556C">
        <w:rPr>
          <w:rFonts w:ascii="Times New Roman" w:hAnsi="Times New Roman"/>
          <w:b/>
          <w:bCs/>
          <w:sz w:val="24"/>
          <w:szCs w:val="24"/>
        </w:rPr>
        <w:t>CILJ 2. POKAZATELJI UČINKA ZNANSTVENO – ISTRAŽIVAČKA DJELATNOST</w:t>
      </w:r>
    </w:p>
    <w:p w:rsidR="001518B2" w:rsidRPr="00E8556C" w:rsidRDefault="001518B2" w:rsidP="001518B2">
      <w:pPr>
        <w:jc w:val="both"/>
        <w:rPr>
          <w:rFonts w:ascii="Times New Roman" w:hAnsi="Times New Roman"/>
          <w:b/>
          <w:bCs/>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435"/>
        <w:gridCol w:w="833"/>
      </w:tblGrid>
      <w:tr w:rsidR="001518B2" w:rsidRPr="00BB4DF5" w:rsidTr="00962D3E">
        <w:trPr>
          <w:trHeight w:val="940"/>
        </w:trPr>
        <w:tc>
          <w:tcPr>
            <w:tcW w:w="1603" w:type="dxa"/>
            <w:tcBorders>
              <w:bottom w:val="single" w:sz="4" w:space="0" w:color="auto"/>
            </w:tcBorders>
            <w:shd w:val="clear" w:color="auto" w:fill="D9D9D9"/>
            <w:noWrap/>
            <w:vAlign w:val="bottom"/>
          </w:tcPr>
          <w:p w:rsidR="001518B2" w:rsidRPr="006679D4" w:rsidRDefault="001518B2" w:rsidP="00962D3E">
            <w:pPr>
              <w:jc w:val="center"/>
              <w:rPr>
                <w:rFonts w:ascii="Times New Roman" w:hAnsi="Times New Roman"/>
                <w:b/>
                <w:bCs/>
                <w:sz w:val="18"/>
                <w:szCs w:val="18"/>
              </w:rPr>
            </w:pPr>
            <w:r w:rsidRPr="006679D4">
              <w:rPr>
                <w:rFonts w:ascii="Times New Roman" w:hAnsi="Times New Roman"/>
                <w:b/>
                <w:bCs/>
                <w:sz w:val="18"/>
                <w:szCs w:val="18"/>
              </w:rPr>
              <w:t>Pokazatelj</w:t>
            </w:r>
          </w:p>
          <w:p w:rsidR="001518B2" w:rsidRPr="006679D4" w:rsidRDefault="001518B2" w:rsidP="00962D3E">
            <w:pPr>
              <w:jc w:val="center"/>
              <w:rPr>
                <w:rFonts w:ascii="Times New Roman" w:hAnsi="Times New Roman"/>
                <w:b/>
                <w:bCs/>
                <w:sz w:val="18"/>
                <w:szCs w:val="18"/>
              </w:rPr>
            </w:pPr>
            <w:r w:rsidRPr="006679D4">
              <w:rPr>
                <w:rFonts w:ascii="Times New Roman" w:hAnsi="Times New Roman"/>
                <w:b/>
                <w:bCs/>
                <w:sz w:val="18"/>
                <w:szCs w:val="18"/>
              </w:rPr>
              <w:t>rezultata</w:t>
            </w:r>
          </w:p>
          <w:p w:rsidR="001518B2" w:rsidRPr="006679D4" w:rsidRDefault="001518B2" w:rsidP="00962D3E">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1518B2" w:rsidRPr="006679D4" w:rsidRDefault="001518B2" w:rsidP="00962D3E">
            <w:pPr>
              <w:jc w:val="center"/>
              <w:rPr>
                <w:rFonts w:ascii="Times New Roman" w:hAnsi="Times New Roman"/>
                <w:b/>
                <w:bCs/>
                <w:sz w:val="18"/>
                <w:szCs w:val="18"/>
              </w:rPr>
            </w:pPr>
            <w:r w:rsidRPr="006679D4">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1518B2" w:rsidRPr="006679D4" w:rsidRDefault="001518B2" w:rsidP="00962D3E">
            <w:pPr>
              <w:jc w:val="center"/>
              <w:rPr>
                <w:rFonts w:ascii="Times New Roman" w:hAnsi="Times New Roman"/>
                <w:b/>
                <w:bCs/>
                <w:sz w:val="18"/>
                <w:szCs w:val="18"/>
              </w:rPr>
            </w:pPr>
            <w:r w:rsidRPr="006679D4">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1518B2" w:rsidRPr="006679D4" w:rsidRDefault="001518B2" w:rsidP="00962D3E">
            <w:pPr>
              <w:jc w:val="center"/>
              <w:rPr>
                <w:rFonts w:ascii="Times New Roman" w:hAnsi="Times New Roman"/>
                <w:b/>
                <w:bCs/>
                <w:sz w:val="18"/>
                <w:szCs w:val="18"/>
              </w:rPr>
            </w:pPr>
            <w:r w:rsidRPr="006679D4">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1518B2" w:rsidRPr="006679D4" w:rsidRDefault="001518B2" w:rsidP="00962D3E">
            <w:pPr>
              <w:jc w:val="center"/>
              <w:rPr>
                <w:rFonts w:ascii="Times New Roman" w:hAnsi="Times New Roman"/>
                <w:b/>
                <w:bCs/>
                <w:sz w:val="18"/>
                <w:szCs w:val="18"/>
              </w:rPr>
            </w:pPr>
            <w:r w:rsidRPr="006679D4">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1518B2" w:rsidRPr="006679D4" w:rsidRDefault="001518B2" w:rsidP="00962D3E">
            <w:pPr>
              <w:jc w:val="center"/>
              <w:rPr>
                <w:rFonts w:ascii="Times New Roman" w:hAnsi="Times New Roman"/>
                <w:b/>
                <w:bCs/>
                <w:sz w:val="18"/>
                <w:szCs w:val="18"/>
              </w:rPr>
            </w:pPr>
            <w:r w:rsidRPr="006679D4">
              <w:rPr>
                <w:rFonts w:ascii="Times New Roman" w:hAnsi="Times New Roman"/>
                <w:b/>
                <w:bCs/>
                <w:sz w:val="18"/>
                <w:szCs w:val="18"/>
              </w:rPr>
              <w:t xml:space="preserve">Planirana </w:t>
            </w:r>
            <w:r>
              <w:rPr>
                <w:rFonts w:ascii="Times New Roman" w:hAnsi="Times New Roman"/>
                <w:b/>
                <w:bCs/>
                <w:sz w:val="18"/>
                <w:szCs w:val="18"/>
              </w:rPr>
              <w:t>vrijednost 2025</w:t>
            </w:r>
            <w:r w:rsidRPr="006679D4">
              <w:rPr>
                <w:rFonts w:ascii="Times New Roman" w:hAnsi="Times New Roman"/>
                <w:b/>
                <w:bCs/>
                <w:sz w:val="18"/>
                <w:szCs w:val="18"/>
              </w:rPr>
              <w:t>.</w:t>
            </w:r>
          </w:p>
        </w:tc>
        <w:tc>
          <w:tcPr>
            <w:tcW w:w="1435" w:type="dxa"/>
            <w:tcBorders>
              <w:bottom w:val="single" w:sz="4" w:space="0" w:color="auto"/>
            </w:tcBorders>
            <w:shd w:val="clear" w:color="auto" w:fill="D9D9D9"/>
            <w:vAlign w:val="center"/>
          </w:tcPr>
          <w:p w:rsidR="001518B2" w:rsidRPr="006679D4" w:rsidRDefault="001518B2" w:rsidP="00962D3E">
            <w:pPr>
              <w:jc w:val="center"/>
              <w:rPr>
                <w:rFonts w:ascii="Times New Roman" w:hAnsi="Times New Roman"/>
                <w:b/>
                <w:bCs/>
                <w:sz w:val="18"/>
                <w:szCs w:val="18"/>
              </w:rPr>
            </w:pPr>
            <w:r w:rsidRPr="006679D4">
              <w:rPr>
                <w:rFonts w:ascii="Times New Roman" w:hAnsi="Times New Roman"/>
                <w:b/>
                <w:bCs/>
                <w:sz w:val="18"/>
                <w:szCs w:val="18"/>
              </w:rPr>
              <w:t>Ostvarena</w:t>
            </w:r>
          </w:p>
          <w:p w:rsidR="001518B2" w:rsidRPr="006679D4" w:rsidRDefault="001518B2" w:rsidP="00962D3E">
            <w:pPr>
              <w:jc w:val="center"/>
              <w:rPr>
                <w:rFonts w:ascii="Times New Roman" w:hAnsi="Times New Roman"/>
                <w:b/>
                <w:bCs/>
                <w:sz w:val="18"/>
                <w:szCs w:val="18"/>
              </w:rPr>
            </w:pPr>
            <w:r>
              <w:rPr>
                <w:rFonts w:ascii="Times New Roman" w:hAnsi="Times New Roman"/>
                <w:b/>
                <w:bCs/>
                <w:sz w:val="18"/>
                <w:szCs w:val="18"/>
              </w:rPr>
              <w:t>vrijednost 2025</w:t>
            </w:r>
            <w:r w:rsidRPr="006679D4">
              <w:rPr>
                <w:rFonts w:ascii="Times New Roman" w:hAnsi="Times New Roman"/>
                <w:b/>
                <w:bCs/>
                <w:sz w:val="18"/>
                <w:szCs w:val="18"/>
              </w:rPr>
              <w:t>.</w:t>
            </w:r>
          </w:p>
        </w:tc>
        <w:tc>
          <w:tcPr>
            <w:tcW w:w="833" w:type="dxa"/>
            <w:tcBorders>
              <w:bottom w:val="single" w:sz="4" w:space="0" w:color="auto"/>
            </w:tcBorders>
            <w:shd w:val="clear" w:color="auto" w:fill="D9D9D9"/>
            <w:vAlign w:val="center"/>
          </w:tcPr>
          <w:p w:rsidR="001518B2" w:rsidRPr="006679D4" w:rsidRDefault="001518B2" w:rsidP="00962D3E">
            <w:pPr>
              <w:jc w:val="center"/>
              <w:rPr>
                <w:rFonts w:ascii="Times New Roman" w:hAnsi="Times New Roman"/>
                <w:b/>
                <w:bCs/>
                <w:sz w:val="18"/>
                <w:szCs w:val="18"/>
              </w:rPr>
            </w:pPr>
            <w:r w:rsidRPr="006679D4">
              <w:rPr>
                <w:rFonts w:ascii="Times New Roman" w:hAnsi="Times New Roman"/>
                <w:b/>
                <w:bCs/>
                <w:sz w:val="18"/>
                <w:szCs w:val="18"/>
              </w:rPr>
              <w:t>Indeks</w:t>
            </w:r>
          </w:p>
        </w:tc>
      </w:tr>
      <w:tr w:rsidR="001518B2" w:rsidRPr="00BB4DF5" w:rsidTr="00D02E80">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1518B2" w:rsidRPr="005E7F95" w:rsidRDefault="001518B2" w:rsidP="00962D3E">
            <w:pPr>
              <w:jc w:val="center"/>
              <w:rPr>
                <w:rFonts w:ascii="Times New Roman" w:hAnsi="Times New Roman"/>
              </w:rPr>
            </w:pPr>
            <w:r w:rsidRPr="005E7F95">
              <w:rPr>
                <w:rFonts w:ascii="Times New Roman" w:hAnsi="Times New Roman"/>
              </w:rPr>
              <w:t>Broj objavljenih radova</w:t>
            </w:r>
          </w:p>
        </w:tc>
        <w:tc>
          <w:tcPr>
            <w:tcW w:w="1276" w:type="dxa"/>
            <w:tcBorders>
              <w:top w:val="single" w:sz="4" w:space="0" w:color="auto"/>
              <w:left w:val="single" w:sz="4" w:space="0" w:color="auto"/>
              <w:bottom w:val="single" w:sz="4" w:space="0" w:color="auto"/>
              <w:right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 xml:space="preserve">Broj objava radova u </w:t>
            </w:r>
            <w:proofErr w:type="spellStart"/>
            <w:r w:rsidRPr="005E7F95">
              <w:rPr>
                <w:rFonts w:ascii="Times New Roman" w:hAnsi="Times New Roman"/>
              </w:rPr>
              <w:t>WoS</w:t>
            </w:r>
            <w:proofErr w:type="spellEnd"/>
            <w:r w:rsidRPr="005E7F95">
              <w:rPr>
                <w:rFonts w:ascii="Times New Roman" w:hAnsi="Times New Roman"/>
              </w:rPr>
              <w:t>-u</w:t>
            </w:r>
          </w:p>
        </w:tc>
        <w:tc>
          <w:tcPr>
            <w:tcW w:w="1134" w:type="dxa"/>
            <w:tcBorders>
              <w:left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1</w:t>
            </w:r>
            <w:r>
              <w:rPr>
                <w:rFonts w:ascii="Times New Roman" w:hAnsi="Times New Roman"/>
              </w:rPr>
              <w:t>15</w:t>
            </w:r>
          </w:p>
          <w:p w:rsidR="001518B2" w:rsidRPr="005E7F95" w:rsidRDefault="001518B2" w:rsidP="00962D3E">
            <w:pPr>
              <w:jc w:val="center"/>
              <w:rPr>
                <w:rFonts w:ascii="Times New Roman" w:hAnsi="Times New Roman"/>
              </w:rPr>
            </w:pPr>
          </w:p>
        </w:tc>
        <w:tc>
          <w:tcPr>
            <w:tcW w:w="1276" w:type="dxa"/>
            <w:tcBorders>
              <w:bottom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Prodekan za znanost / Voditelj knjižnice</w:t>
            </w:r>
          </w:p>
        </w:tc>
        <w:tc>
          <w:tcPr>
            <w:tcW w:w="1134" w:type="dxa"/>
            <w:tcBorders>
              <w:bottom w:val="single" w:sz="4" w:space="0" w:color="auto"/>
            </w:tcBorders>
            <w:noWrap/>
          </w:tcPr>
          <w:p w:rsidR="001518B2" w:rsidRPr="005E7F95" w:rsidRDefault="001518B2" w:rsidP="00962D3E"/>
          <w:p w:rsidR="001518B2" w:rsidRPr="005E7F95" w:rsidRDefault="001518B2" w:rsidP="00962D3E">
            <w:pPr>
              <w:jc w:val="center"/>
              <w:rPr>
                <w:rFonts w:ascii="Times New Roman" w:hAnsi="Times New Roman"/>
              </w:rPr>
            </w:pPr>
            <w:r w:rsidRPr="005E7F95">
              <w:rPr>
                <w:rFonts w:ascii="Times New Roman" w:hAnsi="Times New Roman"/>
              </w:rPr>
              <w:t>1</w:t>
            </w:r>
            <w:r>
              <w:rPr>
                <w:rFonts w:ascii="Times New Roman" w:hAnsi="Times New Roman"/>
              </w:rPr>
              <w:t>20</w:t>
            </w:r>
          </w:p>
        </w:tc>
        <w:tc>
          <w:tcPr>
            <w:tcW w:w="1435" w:type="dxa"/>
            <w:tcBorders>
              <w:bottom w:val="single" w:sz="4" w:space="0" w:color="auto"/>
            </w:tcBorders>
            <w:noWrap/>
          </w:tcPr>
          <w:p w:rsidR="001518B2" w:rsidRPr="00DA47FC" w:rsidRDefault="001518B2" w:rsidP="00962D3E">
            <w:pPr>
              <w:jc w:val="center"/>
              <w:rPr>
                <w:rFonts w:ascii="Times New Roman" w:hAnsi="Times New Roman"/>
              </w:rPr>
            </w:pPr>
          </w:p>
          <w:p w:rsidR="001518B2" w:rsidRPr="00DA47FC" w:rsidRDefault="001518B2" w:rsidP="00962D3E">
            <w:pPr>
              <w:jc w:val="center"/>
              <w:rPr>
                <w:rFonts w:ascii="Times New Roman" w:hAnsi="Times New Roman"/>
              </w:rPr>
            </w:pPr>
            <w:r w:rsidRPr="00DA47FC">
              <w:rPr>
                <w:rFonts w:ascii="Times New Roman" w:hAnsi="Times New Roman"/>
              </w:rPr>
              <w:t>186</w:t>
            </w:r>
          </w:p>
        </w:tc>
        <w:tc>
          <w:tcPr>
            <w:tcW w:w="833" w:type="dxa"/>
            <w:tcBorders>
              <w:bottom w:val="single" w:sz="4" w:space="0" w:color="auto"/>
            </w:tcBorders>
            <w:noWrap/>
          </w:tcPr>
          <w:p w:rsidR="00D02E80" w:rsidRDefault="00D02E80" w:rsidP="00D02E80">
            <w:pPr>
              <w:jc w:val="center"/>
              <w:rPr>
                <w:rFonts w:ascii="Times New Roman" w:hAnsi="Times New Roman"/>
              </w:rPr>
            </w:pPr>
          </w:p>
          <w:p w:rsidR="001518B2" w:rsidRDefault="00D02E80" w:rsidP="00D02E80">
            <w:pPr>
              <w:jc w:val="center"/>
              <w:rPr>
                <w:rFonts w:ascii="Times New Roman" w:hAnsi="Times New Roman"/>
              </w:rPr>
            </w:pPr>
            <w:r>
              <w:rPr>
                <w:rFonts w:ascii="Times New Roman" w:hAnsi="Times New Roman"/>
              </w:rPr>
              <w:t>155,00</w:t>
            </w:r>
          </w:p>
          <w:p w:rsidR="00D02E80" w:rsidRPr="005E7F95" w:rsidRDefault="00D02E80" w:rsidP="00D02E80">
            <w:pPr>
              <w:jc w:val="center"/>
              <w:rPr>
                <w:rFonts w:ascii="Times New Roman" w:hAnsi="Times New Roman"/>
              </w:rPr>
            </w:pPr>
          </w:p>
        </w:tc>
      </w:tr>
      <w:tr w:rsidR="001518B2" w:rsidRPr="00BB4DF5" w:rsidTr="00962D3E">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1518B2" w:rsidRPr="005E7F95" w:rsidRDefault="001518B2" w:rsidP="00962D3E">
            <w:pPr>
              <w:jc w:val="center"/>
              <w:rPr>
                <w:rFonts w:ascii="Times New Roman" w:hAnsi="Times New Roman"/>
              </w:rPr>
            </w:pPr>
            <w:r w:rsidRPr="005E7F95">
              <w:rPr>
                <w:rFonts w:ascii="Times New Roman" w:hAnsi="Times New Roman"/>
              </w:rPr>
              <w:t xml:space="preserve">Broj </w:t>
            </w:r>
            <w:proofErr w:type="spellStart"/>
            <w:r w:rsidRPr="005E7F95">
              <w:rPr>
                <w:rFonts w:ascii="Times New Roman" w:hAnsi="Times New Roman"/>
              </w:rPr>
              <w:t>objavlj.radova</w:t>
            </w:r>
            <w:proofErr w:type="spellEnd"/>
            <w:r w:rsidRPr="005E7F95">
              <w:rPr>
                <w:rFonts w:ascii="Times New Roman" w:hAnsi="Times New Roman"/>
              </w:rPr>
              <w:t xml:space="preserve"> </w:t>
            </w:r>
            <w:proofErr w:type="spellStart"/>
            <w:r w:rsidRPr="005E7F95">
              <w:rPr>
                <w:rFonts w:ascii="Times New Roman" w:hAnsi="Times New Roman"/>
              </w:rPr>
              <w:t>temelj.međun</w:t>
            </w:r>
            <w:proofErr w:type="spellEnd"/>
            <w:r w:rsidRPr="005E7F95">
              <w:rPr>
                <w:rFonts w:ascii="Times New Roman" w:hAnsi="Times New Roman"/>
              </w:rPr>
              <w:t>. suradnje</w:t>
            </w:r>
          </w:p>
        </w:tc>
        <w:tc>
          <w:tcPr>
            <w:tcW w:w="1276" w:type="dxa"/>
            <w:tcBorders>
              <w:top w:val="single" w:sz="4" w:space="0" w:color="auto"/>
              <w:left w:val="single" w:sz="4" w:space="0" w:color="auto"/>
              <w:bottom w:val="single" w:sz="4" w:space="0" w:color="auto"/>
              <w:right w:val="single" w:sz="4" w:space="0" w:color="auto"/>
            </w:tcBorders>
            <w:noWrap/>
          </w:tcPr>
          <w:p w:rsidR="001518B2" w:rsidRPr="005E7F95" w:rsidRDefault="001518B2" w:rsidP="00962D3E">
            <w:pPr>
              <w:jc w:val="center"/>
            </w:pPr>
            <w:r w:rsidRPr="005E7F95">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 xml:space="preserve">Broj radova u koautorstvu s </w:t>
            </w:r>
            <w:proofErr w:type="spellStart"/>
            <w:r w:rsidRPr="005E7F95">
              <w:rPr>
                <w:rFonts w:ascii="Times New Roman" w:hAnsi="Times New Roman"/>
              </w:rPr>
              <w:t>inoz</w:t>
            </w:r>
            <w:proofErr w:type="spellEnd"/>
            <w:r w:rsidRPr="005E7F95">
              <w:rPr>
                <w:rFonts w:ascii="Times New Roman" w:hAnsi="Times New Roman"/>
              </w:rPr>
              <w:t>. autorima</w:t>
            </w:r>
          </w:p>
        </w:tc>
        <w:tc>
          <w:tcPr>
            <w:tcW w:w="1134" w:type="dxa"/>
            <w:tcBorders>
              <w:top w:val="single" w:sz="4" w:space="0" w:color="auto"/>
              <w:left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Pr>
                <w:rFonts w:ascii="Times New Roman" w:hAnsi="Times New Roman"/>
              </w:rPr>
              <w:t>41</w:t>
            </w:r>
          </w:p>
          <w:p w:rsidR="001518B2" w:rsidRPr="005E7F95" w:rsidRDefault="001518B2" w:rsidP="00962D3E">
            <w:pPr>
              <w:jc w:val="center"/>
              <w:rPr>
                <w:rFonts w:ascii="Times New Roman" w:hAnsi="Times New Roman"/>
              </w:rPr>
            </w:pPr>
          </w:p>
        </w:tc>
        <w:tc>
          <w:tcPr>
            <w:tcW w:w="1276" w:type="dxa"/>
            <w:tcBorders>
              <w:top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Prodekan za znanost / Voditelj knjižnice</w:t>
            </w:r>
          </w:p>
          <w:p w:rsidR="001518B2" w:rsidRPr="005E7F95" w:rsidRDefault="001518B2" w:rsidP="00962D3E">
            <w:pPr>
              <w:jc w:val="center"/>
              <w:rPr>
                <w:rFonts w:ascii="Times New Roman" w:hAnsi="Times New Roman"/>
              </w:rPr>
            </w:pPr>
          </w:p>
        </w:tc>
        <w:tc>
          <w:tcPr>
            <w:tcW w:w="1134" w:type="dxa"/>
            <w:tcBorders>
              <w:top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Pr>
                <w:rFonts w:ascii="Times New Roman" w:hAnsi="Times New Roman"/>
              </w:rPr>
              <w:t>43</w:t>
            </w:r>
          </w:p>
        </w:tc>
        <w:tc>
          <w:tcPr>
            <w:tcW w:w="1435" w:type="dxa"/>
            <w:tcBorders>
              <w:top w:val="single" w:sz="4" w:space="0" w:color="auto"/>
              <w:bottom w:val="single" w:sz="4" w:space="0" w:color="auto"/>
            </w:tcBorders>
            <w:noWrap/>
            <w:vAlign w:val="center"/>
          </w:tcPr>
          <w:p w:rsidR="001518B2" w:rsidRPr="00DA47FC" w:rsidRDefault="001518B2" w:rsidP="00962D3E">
            <w:pPr>
              <w:jc w:val="center"/>
              <w:rPr>
                <w:rFonts w:ascii="Times New Roman" w:hAnsi="Times New Roman"/>
              </w:rPr>
            </w:pPr>
            <w:r w:rsidRPr="00DA47FC">
              <w:rPr>
                <w:rFonts w:ascii="Times New Roman" w:hAnsi="Times New Roman"/>
              </w:rPr>
              <w:t>43</w:t>
            </w:r>
          </w:p>
        </w:tc>
        <w:tc>
          <w:tcPr>
            <w:tcW w:w="833" w:type="dxa"/>
            <w:tcBorders>
              <w:top w:val="single" w:sz="4" w:space="0" w:color="auto"/>
              <w:bottom w:val="single" w:sz="4" w:space="0" w:color="auto"/>
            </w:tcBorders>
            <w:noWrap/>
            <w:vAlign w:val="center"/>
          </w:tcPr>
          <w:p w:rsidR="001518B2" w:rsidRPr="005E7F95" w:rsidRDefault="00D02E80" w:rsidP="00962D3E">
            <w:pPr>
              <w:jc w:val="center"/>
              <w:rPr>
                <w:rFonts w:ascii="Times New Roman" w:hAnsi="Times New Roman"/>
              </w:rPr>
            </w:pPr>
            <w:r>
              <w:rPr>
                <w:rFonts w:ascii="Times New Roman" w:hAnsi="Times New Roman"/>
              </w:rPr>
              <w:t>100,00</w:t>
            </w:r>
          </w:p>
        </w:tc>
      </w:tr>
      <w:tr w:rsidR="001518B2" w:rsidRPr="00BB4DF5" w:rsidTr="00962D3E">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1518B2" w:rsidRPr="005E7F95" w:rsidRDefault="001518B2" w:rsidP="00962D3E">
            <w:pPr>
              <w:jc w:val="center"/>
              <w:rPr>
                <w:rFonts w:ascii="Times New Roman" w:hAnsi="Times New Roman"/>
              </w:rPr>
            </w:pPr>
            <w:r w:rsidRPr="005E7F95">
              <w:rPr>
                <w:rFonts w:ascii="Times New Roman" w:hAnsi="Times New Roman"/>
              </w:rPr>
              <w:lastRenderedPageBreak/>
              <w:t>Broj odobrenih nacionalnih projekata</w:t>
            </w:r>
          </w:p>
        </w:tc>
        <w:tc>
          <w:tcPr>
            <w:tcW w:w="1276" w:type="dxa"/>
            <w:tcBorders>
              <w:top w:val="single" w:sz="4" w:space="0" w:color="auto"/>
              <w:left w:val="single" w:sz="4" w:space="0" w:color="auto"/>
              <w:bottom w:val="single" w:sz="4" w:space="0" w:color="auto"/>
              <w:right w:val="single" w:sz="4" w:space="0" w:color="auto"/>
            </w:tcBorders>
            <w:noWrap/>
          </w:tcPr>
          <w:p w:rsidR="001518B2" w:rsidRPr="005E7F95" w:rsidRDefault="001518B2" w:rsidP="00962D3E">
            <w:pPr>
              <w:jc w:val="center"/>
            </w:pPr>
            <w:r w:rsidRPr="005E7F95">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 xml:space="preserve">Broj odobrenih </w:t>
            </w:r>
            <w:proofErr w:type="spellStart"/>
            <w:r w:rsidRPr="005E7F95">
              <w:rPr>
                <w:rFonts w:ascii="Times New Roman" w:hAnsi="Times New Roman"/>
              </w:rPr>
              <w:t>nacional..projekata</w:t>
            </w:r>
            <w:proofErr w:type="spellEnd"/>
          </w:p>
        </w:tc>
        <w:tc>
          <w:tcPr>
            <w:tcW w:w="1134" w:type="dxa"/>
            <w:tcBorders>
              <w:top w:val="single" w:sz="4" w:space="0" w:color="auto"/>
              <w:left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Pr>
                <w:rFonts w:ascii="Times New Roman" w:hAnsi="Times New Roman"/>
              </w:rPr>
              <w:t>3</w:t>
            </w:r>
          </w:p>
          <w:p w:rsidR="001518B2" w:rsidRPr="005E7F95" w:rsidRDefault="001518B2" w:rsidP="00962D3E">
            <w:pPr>
              <w:jc w:val="center"/>
              <w:rPr>
                <w:rFonts w:ascii="Times New Roman" w:hAnsi="Times New Roman"/>
              </w:rPr>
            </w:pPr>
          </w:p>
        </w:tc>
        <w:tc>
          <w:tcPr>
            <w:tcW w:w="1276" w:type="dxa"/>
            <w:tcBorders>
              <w:top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Prodekan za znanost</w:t>
            </w:r>
          </w:p>
          <w:p w:rsidR="001518B2" w:rsidRPr="005E7F95" w:rsidRDefault="001518B2" w:rsidP="00962D3E">
            <w:pPr>
              <w:jc w:val="center"/>
              <w:rPr>
                <w:rFonts w:ascii="Times New Roman" w:hAnsi="Times New Roman"/>
              </w:rPr>
            </w:pPr>
          </w:p>
        </w:tc>
        <w:tc>
          <w:tcPr>
            <w:tcW w:w="1134" w:type="dxa"/>
            <w:tcBorders>
              <w:top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Pr>
                <w:rFonts w:ascii="Times New Roman" w:hAnsi="Times New Roman"/>
              </w:rPr>
              <w:t>4</w:t>
            </w:r>
          </w:p>
        </w:tc>
        <w:tc>
          <w:tcPr>
            <w:tcW w:w="1435" w:type="dxa"/>
            <w:tcBorders>
              <w:top w:val="single" w:sz="4" w:space="0" w:color="auto"/>
              <w:bottom w:val="single" w:sz="4" w:space="0" w:color="auto"/>
            </w:tcBorders>
            <w:noWrap/>
            <w:vAlign w:val="center"/>
          </w:tcPr>
          <w:p w:rsidR="001518B2" w:rsidRPr="00DA47FC" w:rsidRDefault="001518B2" w:rsidP="00962D3E">
            <w:pPr>
              <w:jc w:val="center"/>
              <w:rPr>
                <w:rFonts w:ascii="Times New Roman" w:hAnsi="Times New Roman"/>
              </w:rPr>
            </w:pPr>
            <w:r w:rsidRPr="00DA47FC">
              <w:rPr>
                <w:rFonts w:ascii="Times New Roman" w:hAnsi="Times New Roman"/>
              </w:rPr>
              <w:t>-1 HRZZ IP</w:t>
            </w:r>
          </w:p>
          <w:p w:rsidR="001518B2" w:rsidRPr="00DA47FC" w:rsidRDefault="001518B2" w:rsidP="00962D3E">
            <w:pPr>
              <w:jc w:val="center"/>
              <w:rPr>
                <w:rFonts w:ascii="Times New Roman" w:hAnsi="Times New Roman"/>
              </w:rPr>
            </w:pPr>
            <w:r w:rsidRPr="00DA47FC">
              <w:rPr>
                <w:rFonts w:ascii="Times New Roman" w:hAnsi="Times New Roman"/>
              </w:rPr>
              <w:t>- 2 HRZZ mladi istr.</w:t>
            </w:r>
          </w:p>
          <w:p w:rsidR="001518B2" w:rsidRPr="00DA47FC" w:rsidRDefault="001518B2" w:rsidP="00962D3E">
            <w:pPr>
              <w:jc w:val="center"/>
              <w:rPr>
                <w:rFonts w:ascii="Times New Roman" w:hAnsi="Times New Roman"/>
              </w:rPr>
            </w:pPr>
            <w:r w:rsidRPr="00DA47FC">
              <w:rPr>
                <w:rFonts w:ascii="Times New Roman" w:hAnsi="Times New Roman"/>
              </w:rPr>
              <w:t>- 15 NPOO</w:t>
            </w:r>
          </w:p>
        </w:tc>
        <w:tc>
          <w:tcPr>
            <w:tcW w:w="833" w:type="dxa"/>
            <w:tcBorders>
              <w:top w:val="single" w:sz="4" w:space="0" w:color="auto"/>
              <w:bottom w:val="single" w:sz="4" w:space="0" w:color="auto"/>
            </w:tcBorders>
            <w:noWrap/>
            <w:vAlign w:val="center"/>
          </w:tcPr>
          <w:p w:rsidR="001518B2" w:rsidRPr="005E7F95" w:rsidRDefault="00D02E80" w:rsidP="00962D3E">
            <w:pPr>
              <w:jc w:val="center"/>
              <w:rPr>
                <w:rFonts w:ascii="Times New Roman" w:hAnsi="Times New Roman"/>
              </w:rPr>
            </w:pPr>
            <w:r>
              <w:rPr>
                <w:rFonts w:ascii="Times New Roman" w:hAnsi="Times New Roman"/>
              </w:rPr>
              <w:t>450,00</w:t>
            </w:r>
          </w:p>
        </w:tc>
      </w:tr>
      <w:tr w:rsidR="001518B2" w:rsidRPr="00BB4DF5" w:rsidTr="00962D3E">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1518B2" w:rsidRPr="005E7F95" w:rsidRDefault="001518B2" w:rsidP="00962D3E">
            <w:pPr>
              <w:jc w:val="center"/>
              <w:rPr>
                <w:rFonts w:ascii="Times New Roman" w:hAnsi="Times New Roman"/>
              </w:rPr>
            </w:pPr>
            <w:r w:rsidRPr="005E7F95">
              <w:rPr>
                <w:rFonts w:ascii="Times New Roman" w:hAnsi="Times New Roman"/>
              </w:rPr>
              <w:t>Broj odobrenih međunarodnih projekata</w:t>
            </w:r>
          </w:p>
        </w:tc>
        <w:tc>
          <w:tcPr>
            <w:tcW w:w="1276" w:type="dxa"/>
            <w:tcBorders>
              <w:top w:val="single" w:sz="4" w:space="0" w:color="auto"/>
              <w:left w:val="single" w:sz="4" w:space="0" w:color="auto"/>
              <w:bottom w:val="single" w:sz="4" w:space="0" w:color="auto"/>
              <w:right w:val="single" w:sz="4" w:space="0" w:color="auto"/>
            </w:tcBorders>
            <w:noWrap/>
          </w:tcPr>
          <w:p w:rsidR="001518B2" w:rsidRPr="005E7F95" w:rsidRDefault="001518B2" w:rsidP="00962D3E">
            <w:pPr>
              <w:jc w:val="center"/>
            </w:pPr>
            <w:r w:rsidRPr="005E7F95">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 xml:space="preserve">Broj odobrenih </w:t>
            </w:r>
            <w:proofErr w:type="spellStart"/>
            <w:r w:rsidRPr="005E7F95">
              <w:rPr>
                <w:rFonts w:ascii="Times New Roman" w:hAnsi="Times New Roman"/>
              </w:rPr>
              <w:t>međunar.projekata</w:t>
            </w:r>
            <w:proofErr w:type="spellEnd"/>
          </w:p>
        </w:tc>
        <w:tc>
          <w:tcPr>
            <w:tcW w:w="1134" w:type="dxa"/>
            <w:tcBorders>
              <w:top w:val="single" w:sz="4" w:space="0" w:color="auto"/>
              <w:left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0</w:t>
            </w:r>
          </w:p>
          <w:p w:rsidR="001518B2" w:rsidRPr="005E7F95" w:rsidRDefault="001518B2" w:rsidP="00962D3E">
            <w:pPr>
              <w:jc w:val="center"/>
              <w:rPr>
                <w:rFonts w:ascii="Times New Roman" w:hAnsi="Times New Roman"/>
              </w:rPr>
            </w:pPr>
          </w:p>
        </w:tc>
        <w:tc>
          <w:tcPr>
            <w:tcW w:w="1276" w:type="dxa"/>
            <w:tcBorders>
              <w:top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Prodekan za znanost</w:t>
            </w:r>
          </w:p>
          <w:p w:rsidR="001518B2" w:rsidRPr="005E7F95" w:rsidRDefault="001518B2" w:rsidP="00962D3E">
            <w:pPr>
              <w:jc w:val="center"/>
              <w:rPr>
                <w:rFonts w:ascii="Times New Roman" w:hAnsi="Times New Roman"/>
              </w:rPr>
            </w:pPr>
          </w:p>
        </w:tc>
        <w:tc>
          <w:tcPr>
            <w:tcW w:w="1134" w:type="dxa"/>
            <w:tcBorders>
              <w:top w:val="single" w:sz="4" w:space="0" w:color="auto"/>
              <w:bottom w:val="single" w:sz="4" w:space="0" w:color="auto"/>
            </w:tcBorders>
            <w:noWrap/>
            <w:vAlign w:val="center"/>
          </w:tcPr>
          <w:p w:rsidR="001518B2" w:rsidRPr="005E7F95" w:rsidRDefault="001518B2" w:rsidP="00962D3E">
            <w:pPr>
              <w:jc w:val="center"/>
              <w:rPr>
                <w:rFonts w:ascii="Times New Roman" w:hAnsi="Times New Roman"/>
              </w:rPr>
            </w:pPr>
            <w:r w:rsidRPr="005E7F95">
              <w:rPr>
                <w:rFonts w:ascii="Times New Roman" w:hAnsi="Times New Roman"/>
              </w:rPr>
              <w:t>1</w:t>
            </w:r>
          </w:p>
        </w:tc>
        <w:tc>
          <w:tcPr>
            <w:tcW w:w="1435" w:type="dxa"/>
            <w:tcBorders>
              <w:top w:val="single" w:sz="4" w:space="0" w:color="auto"/>
              <w:bottom w:val="single" w:sz="4" w:space="0" w:color="auto"/>
            </w:tcBorders>
            <w:noWrap/>
            <w:vAlign w:val="center"/>
          </w:tcPr>
          <w:p w:rsidR="001518B2" w:rsidRPr="00DA47FC" w:rsidRDefault="001518B2" w:rsidP="00962D3E">
            <w:pPr>
              <w:jc w:val="center"/>
              <w:rPr>
                <w:rFonts w:ascii="Times New Roman" w:hAnsi="Times New Roman"/>
              </w:rPr>
            </w:pPr>
            <w:r w:rsidRPr="00DA47FC">
              <w:rPr>
                <w:rFonts w:ascii="Times New Roman" w:hAnsi="Times New Roman"/>
              </w:rPr>
              <w:t>1</w:t>
            </w:r>
          </w:p>
        </w:tc>
        <w:tc>
          <w:tcPr>
            <w:tcW w:w="833" w:type="dxa"/>
            <w:tcBorders>
              <w:top w:val="single" w:sz="4" w:space="0" w:color="auto"/>
              <w:bottom w:val="single" w:sz="4" w:space="0" w:color="auto"/>
            </w:tcBorders>
            <w:noWrap/>
            <w:vAlign w:val="center"/>
          </w:tcPr>
          <w:p w:rsidR="001518B2" w:rsidRPr="005E7F95" w:rsidRDefault="00D02E80" w:rsidP="00962D3E">
            <w:pPr>
              <w:jc w:val="center"/>
              <w:rPr>
                <w:rFonts w:ascii="Times New Roman" w:hAnsi="Times New Roman"/>
              </w:rPr>
            </w:pPr>
            <w:r>
              <w:rPr>
                <w:rFonts w:ascii="Times New Roman" w:hAnsi="Times New Roman"/>
              </w:rPr>
              <w:t>100,00</w:t>
            </w:r>
          </w:p>
        </w:tc>
      </w:tr>
      <w:tr w:rsidR="001518B2" w:rsidRPr="00BB4DF5" w:rsidTr="00962D3E">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1518B2" w:rsidRPr="006A7F00" w:rsidRDefault="001518B2" w:rsidP="00962D3E">
            <w:pPr>
              <w:jc w:val="center"/>
              <w:rPr>
                <w:rFonts w:ascii="Times New Roman" w:eastAsia="Times New Roman" w:hAnsi="Times New Roman"/>
                <w:iCs/>
                <w:lang w:eastAsia="hr-HR"/>
              </w:rPr>
            </w:pPr>
            <w:r w:rsidRPr="006A7F00">
              <w:rPr>
                <w:rFonts w:ascii="Times New Roman" w:eastAsia="Times New Roman" w:hAnsi="Times New Roman"/>
                <w:iCs/>
                <w:lang w:eastAsia="hr-HR"/>
              </w:rPr>
              <w:t xml:space="preserve">Broj </w:t>
            </w:r>
            <w:proofErr w:type="spellStart"/>
            <w:r w:rsidRPr="006A7F00">
              <w:rPr>
                <w:rFonts w:ascii="Times New Roman" w:eastAsia="Times New Roman" w:hAnsi="Times New Roman"/>
                <w:iCs/>
                <w:lang w:eastAsia="hr-HR"/>
              </w:rPr>
              <w:t>doktoranada</w:t>
            </w:r>
            <w:proofErr w:type="spellEnd"/>
          </w:p>
          <w:p w:rsidR="001518B2" w:rsidRPr="006A7F00" w:rsidRDefault="001518B2" w:rsidP="00962D3E">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noWrap/>
          </w:tcPr>
          <w:p w:rsidR="001518B2" w:rsidRPr="006A7F00" w:rsidRDefault="001518B2" w:rsidP="00962D3E">
            <w:pPr>
              <w:jc w:val="center"/>
              <w:rPr>
                <w:rFonts w:ascii="Times New Roman" w:hAnsi="Times New Roman"/>
              </w:rPr>
            </w:pPr>
            <w:r w:rsidRPr="006A7F00">
              <w:rPr>
                <w:rFonts w:ascii="Times New Roman" w:hAnsi="Times New Roman"/>
              </w:rPr>
              <w:t xml:space="preserve">Broj zaposlenika </w:t>
            </w:r>
            <w:proofErr w:type="spellStart"/>
            <w:r w:rsidRPr="006A7F00">
              <w:rPr>
                <w:rFonts w:ascii="Times New Roman" w:hAnsi="Times New Roman"/>
              </w:rPr>
              <w:t>doktoranada</w:t>
            </w:r>
            <w:proofErr w:type="spellEnd"/>
            <w:r w:rsidRPr="006A7F00">
              <w:rPr>
                <w:rFonts w:ascii="Times New Roman" w:hAnsi="Times New Roman"/>
              </w:rPr>
              <w:t xml:space="preserve"> kojima se financira plaća sredstvima Hrvatske zaklade za znanost</w:t>
            </w:r>
          </w:p>
        </w:tc>
        <w:tc>
          <w:tcPr>
            <w:tcW w:w="1134" w:type="dxa"/>
            <w:tcBorders>
              <w:top w:val="single" w:sz="4" w:space="0" w:color="auto"/>
              <w:left w:val="single" w:sz="4" w:space="0" w:color="auto"/>
              <w:bottom w:val="single" w:sz="4" w:space="0" w:color="auto"/>
              <w:right w:val="single" w:sz="4" w:space="0" w:color="auto"/>
            </w:tcBorders>
            <w:noWrap/>
            <w:vAlign w:val="center"/>
          </w:tcPr>
          <w:p w:rsidR="001518B2" w:rsidRPr="006A7F00" w:rsidRDefault="001518B2" w:rsidP="00962D3E">
            <w:pPr>
              <w:jc w:val="center"/>
              <w:rPr>
                <w:rFonts w:ascii="Times New Roman" w:hAnsi="Times New Roman"/>
              </w:rPr>
            </w:pPr>
            <w:r w:rsidRPr="006A7F00">
              <w:rPr>
                <w:rFonts w:ascii="Times New Roman" w:eastAsia="Times New Roman" w:hAnsi="Times New Roman"/>
                <w:lang w:eastAsia="en-GB"/>
              </w:rPr>
              <w:t>broj</w:t>
            </w:r>
          </w:p>
        </w:tc>
        <w:tc>
          <w:tcPr>
            <w:tcW w:w="1134" w:type="dxa"/>
            <w:tcBorders>
              <w:top w:val="single" w:sz="4" w:space="0" w:color="auto"/>
              <w:left w:val="single" w:sz="4" w:space="0" w:color="auto"/>
              <w:bottom w:val="single" w:sz="4" w:space="0" w:color="auto"/>
            </w:tcBorders>
            <w:noWrap/>
            <w:vAlign w:val="center"/>
          </w:tcPr>
          <w:p w:rsidR="001518B2" w:rsidRPr="006A7F00" w:rsidRDefault="001518B2" w:rsidP="00962D3E">
            <w:pPr>
              <w:jc w:val="center"/>
              <w:rPr>
                <w:rFonts w:ascii="Times New Roman" w:hAnsi="Times New Roman"/>
              </w:rPr>
            </w:pPr>
            <w:r w:rsidRPr="006A7F00">
              <w:rPr>
                <w:rFonts w:ascii="Times New Roman" w:hAnsi="Times New Roman"/>
              </w:rPr>
              <w:t>1</w:t>
            </w:r>
          </w:p>
        </w:tc>
        <w:tc>
          <w:tcPr>
            <w:tcW w:w="1276" w:type="dxa"/>
            <w:tcBorders>
              <w:top w:val="single" w:sz="4" w:space="0" w:color="auto"/>
              <w:bottom w:val="single" w:sz="4" w:space="0" w:color="auto"/>
            </w:tcBorders>
            <w:noWrap/>
            <w:vAlign w:val="center"/>
          </w:tcPr>
          <w:p w:rsidR="001518B2" w:rsidRPr="006A7F00" w:rsidRDefault="001518B2" w:rsidP="00962D3E">
            <w:pPr>
              <w:jc w:val="center"/>
              <w:rPr>
                <w:rFonts w:ascii="Times New Roman" w:hAnsi="Times New Roman"/>
              </w:rPr>
            </w:pPr>
            <w:r w:rsidRPr="006A7F00">
              <w:rPr>
                <w:rFonts w:ascii="Times New Roman" w:hAnsi="Times New Roman"/>
              </w:rPr>
              <w:t>Prodekan za znanost / računovodstvo</w:t>
            </w:r>
          </w:p>
          <w:p w:rsidR="001518B2" w:rsidRPr="006A7F00" w:rsidRDefault="001518B2" w:rsidP="00962D3E">
            <w:pPr>
              <w:jc w:val="center"/>
              <w:rPr>
                <w:rFonts w:ascii="Times New Roman" w:hAnsi="Times New Roman"/>
              </w:rPr>
            </w:pPr>
          </w:p>
        </w:tc>
        <w:tc>
          <w:tcPr>
            <w:tcW w:w="1134" w:type="dxa"/>
            <w:tcBorders>
              <w:top w:val="single" w:sz="4" w:space="0" w:color="auto"/>
              <w:bottom w:val="single" w:sz="4" w:space="0" w:color="auto"/>
            </w:tcBorders>
            <w:noWrap/>
            <w:vAlign w:val="center"/>
          </w:tcPr>
          <w:p w:rsidR="001518B2" w:rsidRPr="006A7F00" w:rsidRDefault="001518B2" w:rsidP="00962D3E">
            <w:pPr>
              <w:jc w:val="center"/>
              <w:rPr>
                <w:rFonts w:ascii="Times New Roman" w:hAnsi="Times New Roman"/>
              </w:rPr>
            </w:pPr>
            <w:r w:rsidRPr="006A7F00">
              <w:rPr>
                <w:rFonts w:ascii="Times New Roman" w:hAnsi="Times New Roman"/>
              </w:rPr>
              <w:t>1</w:t>
            </w:r>
          </w:p>
        </w:tc>
        <w:tc>
          <w:tcPr>
            <w:tcW w:w="1435" w:type="dxa"/>
            <w:tcBorders>
              <w:top w:val="single" w:sz="4" w:space="0" w:color="auto"/>
              <w:bottom w:val="single" w:sz="4" w:space="0" w:color="auto"/>
            </w:tcBorders>
            <w:noWrap/>
            <w:vAlign w:val="center"/>
          </w:tcPr>
          <w:p w:rsidR="001518B2" w:rsidRPr="00DA47FC" w:rsidRDefault="00D02E80" w:rsidP="00D02E80">
            <w:pPr>
              <w:jc w:val="center"/>
              <w:rPr>
                <w:rFonts w:ascii="Times New Roman" w:hAnsi="Times New Roman"/>
                <w:color w:val="FF0000"/>
              </w:rPr>
            </w:pPr>
            <w:r w:rsidRPr="00D02E80">
              <w:rPr>
                <w:rFonts w:ascii="Times New Roman" w:hAnsi="Times New Roman"/>
              </w:rPr>
              <w:t>1</w:t>
            </w:r>
          </w:p>
        </w:tc>
        <w:tc>
          <w:tcPr>
            <w:tcW w:w="833" w:type="dxa"/>
            <w:tcBorders>
              <w:top w:val="single" w:sz="4" w:space="0" w:color="auto"/>
              <w:bottom w:val="single" w:sz="4" w:space="0" w:color="auto"/>
            </w:tcBorders>
            <w:noWrap/>
            <w:vAlign w:val="center"/>
          </w:tcPr>
          <w:p w:rsidR="001518B2" w:rsidRPr="005E7F95" w:rsidRDefault="00D02E80" w:rsidP="00962D3E">
            <w:pPr>
              <w:jc w:val="center"/>
              <w:rPr>
                <w:rFonts w:ascii="Times New Roman" w:hAnsi="Times New Roman"/>
              </w:rPr>
            </w:pPr>
            <w:r>
              <w:rPr>
                <w:rFonts w:ascii="Times New Roman" w:hAnsi="Times New Roman"/>
              </w:rPr>
              <w:t>100,00</w:t>
            </w:r>
          </w:p>
        </w:tc>
      </w:tr>
      <w:tr w:rsidR="001518B2" w:rsidRPr="00BB4DF5" w:rsidTr="00962D3E">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1518B2" w:rsidRPr="006A7F00" w:rsidRDefault="001518B2" w:rsidP="00962D3E">
            <w:pPr>
              <w:jc w:val="center"/>
              <w:rPr>
                <w:rFonts w:ascii="Times New Roman" w:eastAsia="Times New Roman" w:hAnsi="Times New Roman"/>
                <w:iCs/>
                <w:lang w:eastAsia="hr-HR"/>
              </w:rPr>
            </w:pPr>
            <w:r w:rsidRPr="006A7F00">
              <w:rPr>
                <w:rFonts w:ascii="Times New Roman" w:eastAsia="Times New Roman" w:hAnsi="Times New Roman"/>
                <w:iCs/>
                <w:lang w:eastAsia="hr-HR"/>
              </w:rPr>
              <w:t>Broj doktora znanosti </w:t>
            </w:r>
          </w:p>
          <w:p w:rsidR="001518B2" w:rsidRPr="006A7F00" w:rsidRDefault="001518B2" w:rsidP="00962D3E">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noWrap/>
          </w:tcPr>
          <w:p w:rsidR="001518B2" w:rsidRPr="006A7F00" w:rsidRDefault="001518B2" w:rsidP="00962D3E">
            <w:pPr>
              <w:jc w:val="center"/>
              <w:rPr>
                <w:rFonts w:ascii="Times New Roman" w:hAnsi="Times New Roman"/>
              </w:rPr>
            </w:pPr>
            <w:r w:rsidRPr="006A7F00">
              <w:rPr>
                <w:rFonts w:ascii="Times New Roman" w:eastAsia="Times New Roman" w:hAnsi="Times New Roman"/>
                <w:iCs/>
                <w:lang w:eastAsia="hr-HR"/>
              </w:rPr>
              <w:t>Broj zaposlenika koji su završili doktorski studij</w:t>
            </w:r>
          </w:p>
        </w:tc>
        <w:tc>
          <w:tcPr>
            <w:tcW w:w="1134" w:type="dxa"/>
            <w:tcBorders>
              <w:top w:val="single" w:sz="4" w:space="0" w:color="auto"/>
              <w:left w:val="single" w:sz="4" w:space="0" w:color="auto"/>
              <w:bottom w:val="single" w:sz="4" w:space="0" w:color="auto"/>
              <w:right w:val="single" w:sz="4" w:space="0" w:color="auto"/>
            </w:tcBorders>
            <w:noWrap/>
            <w:vAlign w:val="center"/>
          </w:tcPr>
          <w:p w:rsidR="001518B2" w:rsidRPr="006A7F00" w:rsidRDefault="001518B2" w:rsidP="00962D3E">
            <w:pPr>
              <w:jc w:val="center"/>
              <w:rPr>
                <w:rFonts w:ascii="Times New Roman" w:hAnsi="Times New Roman"/>
              </w:rPr>
            </w:pPr>
            <w:r w:rsidRPr="006A7F00">
              <w:rPr>
                <w:rFonts w:ascii="Times New Roman" w:eastAsia="Times New Roman" w:hAnsi="Times New Roman"/>
                <w:lang w:eastAsia="en-GB"/>
              </w:rPr>
              <w:t>broj</w:t>
            </w:r>
          </w:p>
        </w:tc>
        <w:tc>
          <w:tcPr>
            <w:tcW w:w="1134" w:type="dxa"/>
            <w:tcBorders>
              <w:top w:val="single" w:sz="4" w:space="0" w:color="auto"/>
              <w:left w:val="single" w:sz="4" w:space="0" w:color="auto"/>
            </w:tcBorders>
            <w:noWrap/>
            <w:vAlign w:val="center"/>
          </w:tcPr>
          <w:p w:rsidR="001518B2" w:rsidRPr="006A7F00" w:rsidRDefault="001518B2" w:rsidP="00962D3E">
            <w:pPr>
              <w:jc w:val="center"/>
              <w:rPr>
                <w:rFonts w:ascii="Times New Roman" w:hAnsi="Times New Roman"/>
              </w:rPr>
            </w:pPr>
            <w:r w:rsidRPr="006A7F00">
              <w:rPr>
                <w:rFonts w:ascii="Times New Roman" w:hAnsi="Times New Roman"/>
              </w:rPr>
              <w:t>2</w:t>
            </w:r>
          </w:p>
        </w:tc>
        <w:tc>
          <w:tcPr>
            <w:tcW w:w="1276" w:type="dxa"/>
            <w:tcBorders>
              <w:top w:val="single" w:sz="4" w:space="0" w:color="auto"/>
            </w:tcBorders>
            <w:noWrap/>
            <w:vAlign w:val="center"/>
          </w:tcPr>
          <w:p w:rsidR="001518B2" w:rsidRPr="006A7F00" w:rsidRDefault="001518B2" w:rsidP="00962D3E">
            <w:pPr>
              <w:jc w:val="center"/>
              <w:rPr>
                <w:rFonts w:ascii="Times New Roman" w:hAnsi="Times New Roman"/>
              </w:rPr>
            </w:pPr>
            <w:r w:rsidRPr="006A7F00">
              <w:rPr>
                <w:rFonts w:ascii="Times New Roman" w:eastAsia="Times New Roman" w:hAnsi="Times New Roman"/>
                <w:sz w:val="20"/>
                <w:szCs w:val="20"/>
                <w:lang w:eastAsia="en-GB"/>
              </w:rPr>
              <w:t>Katedra kojoj zaposlenik pripada</w:t>
            </w:r>
          </w:p>
        </w:tc>
        <w:tc>
          <w:tcPr>
            <w:tcW w:w="1134" w:type="dxa"/>
            <w:tcBorders>
              <w:top w:val="single" w:sz="4" w:space="0" w:color="auto"/>
            </w:tcBorders>
            <w:noWrap/>
            <w:vAlign w:val="center"/>
          </w:tcPr>
          <w:p w:rsidR="001518B2" w:rsidRPr="006A7F00" w:rsidRDefault="001518B2" w:rsidP="00962D3E">
            <w:pPr>
              <w:jc w:val="center"/>
              <w:rPr>
                <w:rFonts w:ascii="Times New Roman" w:hAnsi="Times New Roman"/>
              </w:rPr>
            </w:pPr>
            <w:r w:rsidRPr="006A7F00">
              <w:rPr>
                <w:rFonts w:ascii="Times New Roman" w:hAnsi="Times New Roman"/>
              </w:rPr>
              <w:t>4</w:t>
            </w:r>
          </w:p>
        </w:tc>
        <w:tc>
          <w:tcPr>
            <w:tcW w:w="1435" w:type="dxa"/>
            <w:tcBorders>
              <w:top w:val="single" w:sz="4" w:space="0" w:color="auto"/>
            </w:tcBorders>
            <w:noWrap/>
            <w:vAlign w:val="center"/>
          </w:tcPr>
          <w:p w:rsidR="001518B2" w:rsidRPr="005E7F95" w:rsidRDefault="00D02E80" w:rsidP="00962D3E">
            <w:pPr>
              <w:jc w:val="center"/>
              <w:rPr>
                <w:rFonts w:ascii="Times New Roman" w:hAnsi="Times New Roman"/>
              </w:rPr>
            </w:pPr>
            <w:r w:rsidRPr="00D02E80">
              <w:rPr>
                <w:rFonts w:ascii="Times New Roman" w:hAnsi="Times New Roman"/>
              </w:rPr>
              <w:t>1</w:t>
            </w:r>
          </w:p>
        </w:tc>
        <w:tc>
          <w:tcPr>
            <w:tcW w:w="833" w:type="dxa"/>
            <w:tcBorders>
              <w:top w:val="single" w:sz="4" w:space="0" w:color="auto"/>
            </w:tcBorders>
            <w:noWrap/>
            <w:vAlign w:val="center"/>
          </w:tcPr>
          <w:p w:rsidR="001518B2" w:rsidRPr="005E7F95" w:rsidRDefault="00D02E80" w:rsidP="00962D3E">
            <w:pPr>
              <w:jc w:val="center"/>
              <w:rPr>
                <w:rFonts w:ascii="Times New Roman" w:hAnsi="Times New Roman"/>
              </w:rPr>
            </w:pPr>
            <w:r>
              <w:rPr>
                <w:rFonts w:ascii="Times New Roman" w:hAnsi="Times New Roman"/>
              </w:rPr>
              <w:t>25,00</w:t>
            </w:r>
          </w:p>
        </w:tc>
      </w:tr>
    </w:tbl>
    <w:p w:rsidR="001518B2" w:rsidRPr="005E7F95" w:rsidRDefault="001518B2" w:rsidP="001518B2">
      <w:pPr>
        <w:jc w:val="both"/>
        <w:rPr>
          <w:rFonts w:ascii="Times New Roman" w:hAnsi="Times New Roman"/>
          <w:b/>
          <w:bCs/>
          <w:sz w:val="20"/>
          <w:szCs w:val="20"/>
        </w:rPr>
      </w:pPr>
    </w:p>
    <w:p w:rsidR="001518B2" w:rsidRPr="00FC4DCB" w:rsidRDefault="001518B2" w:rsidP="00FC4DCB">
      <w:pPr>
        <w:shd w:val="clear" w:color="auto" w:fill="FFFFFF" w:themeFill="background1"/>
        <w:spacing w:line="276" w:lineRule="auto"/>
        <w:jc w:val="both"/>
        <w:rPr>
          <w:rFonts w:ascii="Times New Roman" w:hAnsi="Times New Roman"/>
          <w:sz w:val="24"/>
          <w:szCs w:val="24"/>
        </w:rPr>
      </w:pPr>
      <w:r w:rsidRPr="005E7F95">
        <w:rPr>
          <w:rFonts w:ascii="Times New Roman" w:hAnsi="Times New Roman"/>
          <w:b/>
          <w:bCs/>
          <w:sz w:val="24"/>
          <w:szCs w:val="24"/>
        </w:rPr>
        <w:t xml:space="preserve">Znanstveno </w:t>
      </w:r>
      <w:r w:rsidRPr="008F75FC">
        <w:rPr>
          <w:rFonts w:ascii="Times New Roman" w:hAnsi="Times New Roman"/>
          <w:b/>
          <w:bCs/>
          <w:sz w:val="24"/>
          <w:szCs w:val="24"/>
        </w:rPr>
        <w:t>– istraživačka djelatnost</w:t>
      </w:r>
      <w:r w:rsidRPr="008F75FC" w:rsidDel="00343B41">
        <w:rPr>
          <w:rFonts w:ascii="Times New Roman" w:hAnsi="Times New Roman"/>
          <w:b/>
          <w:bCs/>
          <w:sz w:val="24"/>
          <w:szCs w:val="24"/>
        </w:rPr>
        <w:t xml:space="preserve"> </w:t>
      </w:r>
      <w:r w:rsidRPr="008F75FC">
        <w:rPr>
          <w:rFonts w:ascii="Times New Roman" w:hAnsi="Times New Roman"/>
          <w:b/>
          <w:bCs/>
          <w:sz w:val="24"/>
          <w:szCs w:val="24"/>
        </w:rPr>
        <w:t xml:space="preserve">– </w:t>
      </w:r>
      <w:r w:rsidRPr="008F75FC">
        <w:rPr>
          <w:rFonts w:ascii="Times New Roman" w:hAnsi="Times New Roman"/>
          <w:sz w:val="24"/>
          <w:szCs w:val="24"/>
        </w:rPr>
        <w:t xml:space="preserve">nastavnici i studenti Stomatološkog fakulteta objavljuju rezultate svojih znanstvenih istraživanja i u prestižnim svjetskim časopisima indeksiranim u bazi Web </w:t>
      </w:r>
      <w:proofErr w:type="spellStart"/>
      <w:r w:rsidRPr="008F75FC">
        <w:rPr>
          <w:rFonts w:ascii="Times New Roman" w:hAnsi="Times New Roman"/>
          <w:sz w:val="24"/>
          <w:szCs w:val="24"/>
        </w:rPr>
        <w:t>of</w:t>
      </w:r>
      <w:proofErr w:type="spellEnd"/>
      <w:r w:rsidRPr="008F75FC">
        <w:rPr>
          <w:rFonts w:ascii="Times New Roman" w:hAnsi="Times New Roman"/>
          <w:sz w:val="24"/>
          <w:szCs w:val="24"/>
        </w:rPr>
        <w:t xml:space="preserve"> Science. Dio tih radova proizašao je i iz međunarodne suradnje – sa znanstvenicima iz drugih z</w:t>
      </w:r>
      <w:r>
        <w:rPr>
          <w:rFonts w:ascii="Times New Roman" w:hAnsi="Times New Roman"/>
          <w:sz w:val="24"/>
          <w:szCs w:val="24"/>
        </w:rPr>
        <w:t>emalja. Tako je u ovoj 2025</w:t>
      </w:r>
      <w:r w:rsidRPr="008F75FC">
        <w:rPr>
          <w:rFonts w:ascii="Times New Roman" w:hAnsi="Times New Roman"/>
          <w:sz w:val="24"/>
          <w:szCs w:val="24"/>
        </w:rPr>
        <w:t xml:space="preserve">. godini do izrade ovog izvještaja, objavljeno ukupno </w:t>
      </w:r>
      <w:r w:rsidRPr="001518B2">
        <w:rPr>
          <w:rFonts w:ascii="Times New Roman" w:hAnsi="Times New Roman"/>
          <w:sz w:val="24"/>
          <w:szCs w:val="24"/>
        </w:rPr>
        <w:t xml:space="preserve">186 radova u časopisima citiranim u </w:t>
      </w:r>
      <w:proofErr w:type="spellStart"/>
      <w:r w:rsidRPr="001518B2">
        <w:rPr>
          <w:rFonts w:ascii="Times New Roman" w:hAnsi="Times New Roman"/>
          <w:sz w:val="24"/>
          <w:szCs w:val="24"/>
        </w:rPr>
        <w:t>WoS</w:t>
      </w:r>
      <w:proofErr w:type="spellEnd"/>
      <w:r w:rsidRPr="001518B2">
        <w:rPr>
          <w:rFonts w:ascii="Times New Roman" w:hAnsi="Times New Roman"/>
          <w:sz w:val="24"/>
          <w:szCs w:val="24"/>
        </w:rPr>
        <w:t>-u, te 43 rada u koautorstvu s inozemnim autorima. Na Fakultetu je trenutno aktivno 20 nacionalnih projekta, od toga 5 HRZZ projekata (3 HRZZ IP projekta, 2 HRZZ projekta razvoja karijera mladih istraživača) i 15 NPOO projekta</w:t>
      </w:r>
      <w:r w:rsidRPr="00B12139">
        <w:rPr>
          <w:rFonts w:ascii="Times New Roman" w:hAnsi="Times New Roman"/>
          <w:color w:val="FF0000"/>
          <w:sz w:val="24"/>
          <w:szCs w:val="24"/>
        </w:rPr>
        <w:t xml:space="preserve"> </w:t>
      </w:r>
      <w:r>
        <w:rPr>
          <w:rFonts w:ascii="Times New Roman" w:hAnsi="Times New Roman"/>
          <w:sz w:val="24"/>
          <w:szCs w:val="24"/>
        </w:rPr>
        <w:t>te jedan međunarodni projekt</w:t>
      </w:r>
      <w:r w:rsidRPr="008F75FC">
        <w:rPr>
          <w:rFonts w:ascii="Times New Roman" w:hAnsi="Times New Roman"/>
          <w:sz w:val="24"/>
          <w:szCs w:val="24"/>
        </w:rPr>
        <w:t xml:space="preserve">. Doktorandi koji su zaposleni na Stomatološkom fakultetu te čija je plaća financirana HRZZ projektima su baza znanstvenog rada te smatramo da je njihov broj znakovit pokazatelj znanstvene aktivnosti. </w:t>
      </w:r>
      <w:r w:rsidRPr="00FC4DCB">
        <w:rPr>
          <w:rFonts w:ascii="Times New Roman" w:hAnsi="Times New Roman"/>
          <w:sz w:val="24"/>
          <w:szCs w:val="24"/>
        </w:rPr>
        <w:t xml:space="preserve">Broj </w:t>
      </w:r>
      <w:proofErr w:type="spellStart"/>
      <w:r w:rsidRPr="00FC4DCB">
        <w:rPr>
          <w:rFonts w:ascii="Times New Roman" w:hAnsi="Times New Roman"/>
          <w:sz w:val="24"/>
          <w:szCs w:val="24"/>
        </w:rPr>
        <w:t>doktoranada</w:t>
      </w:r>
      <w:proofErr w:type="spellEnd"/>
      <w:r w:rsidRPr="00FC4DCB">
        <w:rPr>
          <w:rFonts w:ascii="Times New Roman" w:hAnsi="Times New Roman"/>
          <w:sz w:val="24"/>
          <w:szCs w:val="24"/>
        </w:rPr>
        <w:t xml:space="preserve"> koji su financirani sredstvima HRZZ se u 2026. godini smanjio jer je</w:t>
      </w:r>
      <w:r w:rsidRPr="00FC4DCB">
        <w:rPr>
          <w:rFonts w:ascii="Times New Roman" w:eastAsia="Times New Roman" w:hAnsi="Times New Roman"/>
          <w:iCs/>
          <w:sz w:val="24"/>
          <w:szCs w:val="24"/>
          <w:lang w:eastAsia="hr-HR"/>
        </w:rPr>
        <w:t xml:space="preserve"> jedan</w:t>
      </w:r>
      <w:r w:rsidRPr="00FC4DCB">
        <w:rPr>
          <w:rFonts w:ascii="Times New Roman" w:hAnsi="Times New Roman"/>
          <w:sz w:val="24"/>
          <w:szCs w:val="24"/>
        </w:rPr>
        <w:t xml:space="preserve"> </w:t>
      </w:r>
      <w:r w:rsidR="00FC4DCB" w:rsidRPr="00FC4DCB">
        <w:rPr>
          <w:rFonts w:ascii="Times New Roman" w:eastAsia="Times New Roman" w:hAnsi="Times New Roman"/>
          <w:iCs/>
          <w:sz w:val="24"/>
          <w:szCs w:val="24"/>
          <w:lang w:eastAsia="hr-HR"/>
        </w:rPr>
        <w:t>doktorand</w:t>
      </w:r>
      <w:r w:rsidRPr="00FC4DCB">
        <w:rPr>
          <w:rFonts w:ascii="Times New Roman" w:eastAsia="Times New Roman" w:hAnsi="Times New Roman"/>
          <w:iCs/>
          <w:sz w:val="24"/>
          <w:szCs w:val="24"/>
          <w:lang w:eastAsia="hr-HR"/>
        </w:rPr>
        <w:t xml:space="preserve"> završio doktorski studij te prešao s financiranja HRZZ na financiranje od strane Stomatološkog fakulteta.</w:t>
      </w:r>
    </w:p>
    <w:p w:rsidR="00EA1D34" w:rsidRPr="00D42118" w:rsidRDefault="00EA1D34" w:rsidP="000516E8">
      <w:pPr>
        <w:jc w:val="both"/>
        <w:rPr>
          <w:rFonts w:ascii="Times New Roman" w:hAnsi="Times New Roman"/>
          <w:b/>
          <w:bCs/>
          <w:sz w:val="24"/>
          <w:szCs w:val="24"/>
        </w:rPr>
      </w:pPr>
    </w:p>
    <w:p w:rsidR="005E6F50" w:rsidRPr="00D42118" w:rsidRDefault="00851D58" w:rsidP="000516E8">
      <w:pPr>
        <w:jc w:val="both"/>
        <w:rPr>
          <w:rFonts w:ascii="Times New Roman" w:hAnsi="Times New Roman"/>
          <w:b/>
          <w:bCs/>
          <w:sz w:val="24"/>
          <w:szCs w:val="24"/>
        </w:rPr>
      </w:pPr>
      <w:r w:rsidRPr="00D42118">
        <w:rPr>
          <w:rFonts w:ascii="Times New Roman" w:hAnsi="Times New Roman"/>
          <w:b/>
          <w:bCs/>
          <w:sz w:val="24"/>
          <w:szCs w:val="24"/>
        </w:rPr>
        <w:t xml:space="preserve">CILJ </w:t>
      </w:r>
      <w:r w:rsidR="005E6F50" w:rsidRPr="00D42118">
        <w:rPr>
          <w:rFonts w:ascii="Times New Roman" w:hAnsi="Times New Roman"/>
          <w:b/>
          <w:bCs/>
          <w:sz w:val="24"/>
          <w:szCs w:val="24"/>
        </w:rPr>
        <w:t xml:space="preserve">3. </w:t>
      </w:r>
      <w:r w:rsidRPr="00D42118">
        <w:rPr>
          <w:rFonts w:ascii="Times New Roman" w:hAnsi="Times New Roman"/>
          <w:b/>
          <w:bCs/>
          <w:sz w:val="24"/>
          <w:szCs w:val="24"/>
        </w:rPr>
        <w:t xml:space="preserve">POKAZATELJI UČINKA </w:t>
      </w:r>
      <w:r w:rsidR="005E6F50" w:rsidRPr="00D42118">
        <w:rPr>
          <w:rFonts w:ascii="Times New Roman" w:hAnsi="Times New Roman"/>
          <w:b/>
          <w:bCs/>
          <w:sz w:val="24"/>
          <w:szCs w:val="24"/>
        </w:rPr>
        <w:t>USKLADITI PO</w:t>
      </w:r>
      <w:r w:rsidR="0024348D" w:rsidRPr="00D42118">
        <w:rPr>
          <w:rFonts w:ascii="Times New Roman" w:hAnsi="Times New Roman"/>
          <w:b/>
          <w:bCs/>
          <w:sz w:val="24"/>
          <w:szCs w:val="24"/>
        </w:rPr>
        <w:t>NUDU I PROGRAME POSLIJEDIPLOMSKIH</w:t>
      </w:r>
      <w:r w:rsidR="005E6F50" w:rsidRPr="00D42118">
        <w:rPr>
          <w:rFonts w:ascii="Times New Roman" w:hAnsi="Times New Roman"/>
          <w:b/>
          <w:bCs/>
          <w:sz w:val="24"/>
          <w:szCs w:val="24"/>
        </w:rPr>
        <w:t xml:space="preserve"> SPECIJALISTIČKIH</w:t>
      </w:r>
      <w:r w:rsidR="0024348D" w:rsidRPr="00D42118">
        <w:rPr>
          <w:rFonts w:ascii="Times New Roman" w:hAnsi="Times New Roman"/>
          <w:b/>
          <w:bCs/>
          <w:sz w:val="24"/>
          <w:szCs w:val="24"/>
        </w:rPr>
        <w:t xml:space="preserve"> </w:t>
      </w:r>
      <w:r w:rsidR="005E6F50" w:rsidRPr="00D42118">
        <w:rPr>
          <w:rFonts w:ascii="Times New Roman" w:hAnsi="Times New Roman"/>
          <w:b/>
          <w:bCs/>
          <w:sz w:val="24"/>
          <w:szCs w:val="24"/>
        </w:rPr>
        <w:t>STUDIJA S POTREBAMA CJELOŽIVOTNOG USAVRŠAVANJA</w:t>
      </w:r>
    </w:p>
    <w:p w:rsidR="000516E8" w:rsidRPr="00D42118" w:rsidRDefault="000516E8" w:rsidP="000516E8">
      <w:pPr>
        <w:jc w:val="both"/>
        <w:rPr>
          <w:rFonts w:ascii="Times New Roman" w:hAnsi="Times New Roman"/>
          <w:b/>
          <w:bCs/>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BB4DF5" w:rsidRPr="00BB4DF5" w:rsidTr="00C23345">
        <w:trPr>
          <w:trHeight w:val="940"/>
        </w:trPr>
        <w:tc>
          <w:tcPr>
            <w:tcW w:w="1603" w:type="dxa"/>
            <w:tcBorders>
              <w:bottom w:val="single" w:sz="4" w:space="0" w:color="auto"/>
            </w:tcBorders>
            <w:shd w:val="clear" w:color="auto" w:fill="D9D9D9"/>
            <w:noWrap/>
            <w:vAlign w:val="bottom"/>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Pokazatelj</w:t>
            </w:r>
          </w:p>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rezultata</w:t>
            </w:r>
          </w:p>
          <w:p w:rsidR="00C23345" w:rsidRPr="006679D4" w:rsidRDefault="00C23345" w:rsidP="00B16B32">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C23345" w:rsidRPr="006679D4" w:rsidRDefault="00C23345" w:rsidP="00B16B32">
            <w:pPr>
              <w:jc w:val="center"/>
              <w:rPr>
                <w:rFonts w:ascii="Times New Roman" w:hAnsi="Times New Roman"/>
                <w:b/>
                <w:bCs/>
                <w:sz w:val="18"/>
                <w:szCs w:val="18"/>
              </w:rPr>
            </w:pPr>
            <w:r w:rsidRPr="006679D4">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63287F" w:rsidRPr="006679D4" w:rsidRDefault="0063287F" w:rsidP="00B16B32">
            <w:pPr>
              <w:jc w:val="center"/>
              <w:rPr>
                <w:rFonts w:ascii="Times New Roman" w:hAnsi="Times New Roman"/>
                <w:b/>
                <w:bCs/>
                <w:sz w:val="18"/>
                <w:szCs w:val="18"/>
              </w:rPr>
            </w:pPr>
            <w:r w:rsidRPr="006679D4">
              <w:rPr>
                <w:rFonts w:ascii="Times New Roman" w:hAnsi="Times New Roman"/>
                <w:b/>
                <w:bCs/>
                <w:sz w:val="18"/>
                <w:szCs w:val="18"/>
              </w:rPr>
              <w:t>Planirana</w:t>
            </w:r>
          </w:p>
          <w:p w:rsidR="00C23345" w:rsidRPr="006679D4" w:rsidRDefault="006679D4" w:rsidP="001E6487">
            <w:pPr>
              <w:jc w:val="center"/>
              <w:rPr>
                <w:rFonts w:ascii="Times New Roman" w:hAnsi="Times New Roman"/>
                <w:b/>
                <w:bCs/>
                <w:sz w:val="18"/>
                <w:szCs w:val="18"/>
              </w:rPr>
            </w:pPr>
            <w:r w:rsidRPr="006679D4">
              <w:rPr>
                <w:rFonts w:ascii="Times New Roman" w:hAnsi="Times New Roman"/>
                <w:b/>
                <w:bCs/>
                <w:sz w:val="18"/>
                <w:szCs w:val="18"/>
              </w:rPr>
              <w:t>vrijednost 202</w:t>
            </w:r>
            <w:r w:rsidR="001E6487">
              <w:rPr>
                <w:rFonts w:ascii="Times New Roman" w:hAnsi="Times New Roman"/>
                <w:b/>
                <w:bCs/>
                <w:sz w:val="18"/>
                <w:szCs w:val="18"/>
              </w:rPr>
              <w:t>5</w:t>
            </w:r>
            <w:r w:rsidR="00C23345" w:rsidRPr="006679D4">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63287F" w:rsidRPr="006679D4" w:rsidRDefault="0063287F" w:rsidP="00B16B32">
            <w:pPr>
              <w:jc w:val="center"/>
              <w:rPr>
                <w:rFonts w:ascii="Times New Roman" w:hAnsi="Times New Roman"/>
                <w:b/>
                <w:bCs/>
                <w:sz w:val="18"/>
                <w:szCs w:val="18"/>
              </w:rPr>
            </w:pPr>
            <w:r w:rsidRPr="006679D4">
              <w:rPr>
                <w:rFonts w:ascii="Times New Roman" w:hAnsi="Times New Roman"/>
                <w:b/>
                <w:bCs/>
                <w:sz w:val="18"/>
                <w:szCs w:val="18"/>
              </w:rPr>
              <w:t>Ostvarena</w:t>
            </w:r>
          </w:p>
          <w:p w:rsidR="00C23345" w:rsidRPr="006679D4" w:rsidRDefault="006679D4" w:rsidP="001E6487">
            <w:pPr>
              <w:jc w:val="center"/>
              <w:rPr>
                <w:rFonts w:ascii="Times New Roman" w:hAnsi="Times New Roman"/>
                <w:b/>
                <w:bCs/>
                <w:sz w:val="18"/>
                <w:szCs w:val="18"/>
              </w:rPr>
            </w:pPr>
            <w:r w:rsidRPr="006679D4">
              <w:rPr>
                <w:rFonts w:ascii="Times New Roman" w:hAnsi="Times New Roman"/>
                <w:b/>
                <w:bCs/>
                <w:sz w:val="18"/>
                <w:szCs w:val="18"/>
              </w:rPr>
              <w:t>vrijednost 202</w:t>
            </w:r>
            <w:r w:rsidR="001E6487">
              <w:rPr>
                <w:rFonts w:ascii="Times New Roman" w:hAnsi="Times New Roman"/>
                <w:b/>
                <w:bCs/>
                <w:sz w:val="18"/>
                <w:szCs w:val="18"/>
              </w:rPr>
              <w:t>5</w:t>
            </w:r>
            <w:r w:rsidR="00C23345" w:rsidRPr="006679D4">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C23345" w:rsidRPr="006679D4" w:rsidRDefault="0063287F" w:rsidP="00B16B32">
            <w:pPr>
              <w:jc w:val="center"/>
              <w:rPr>
                <w:rFonts w:ascii="Times New Roman" w:hAnsi="Times New Roman"/>
                <w:b/>
                <w:bCs/>
                <w:sz w:val="18"/>
                <w:szCs w:val="18"/>
              </w:rPr>
            </w:pPr>
            <w:r w:rsidRPr="006679D4">
              <w:rPr>
                <w:rFonts w:ascii="Times New Roman" w:hAnsi="Times New Roman"/>
                <w:b/>
                <w:bCs/>
                <w:sz w:val="18"/>
                <w:szCs w:val="18"/>
              </w:rPr>
              <w:t>Indeks</w:t>
            </w:r>
          </w:p>
        </w:tc>
      </w:tr>
      <w:tr w:rsidR="00C23345" w:rsidRPr="00D42118" w:rsidTr="00C23345">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C23345" w:rsidRPr="00D42118" w:rsidRDefault="00B934FD" w:rsidP="00B16B32">
            <w:pPr>
              <w:jc w:val="center"/>
              <w:rPr>
                <w:rFonts w:ascii="Times New Roman" w:hAnsi="Times New Roman"/>
              </w:rPr>
            </w:pPr>
            <w:r w:rsidRPr="00D42118">
              <w:rPr>
                <w:rFonts w:ascii="Times New Roman" w:hAnsi="Times New Roman"/>
              </w:rPr>
              <w:t xml:space="preserve">Broj </w:t>
            </w:r>
            <w:proofErr w:type="spellStart"/>
            <w:r w:rsidRPr="00D42118">
              <w:rPr>
                <w:rFonts w:ascii="Times New Roman" w:hAnsi="Times New Roman"/>
              </w:rPr>
              <w:t>poslijedipl</w:t>
            </w:r>
            <w:proofErr w:type="spellEnd"/>
            <w:r w:rsidR="00C23345" w:rsidRPr="00D42118">
              <w:rPr>
                <w:rFonts w:ascii="Times New Roman" w:hAnsi="Times New Roman"/>
              </w:rPr>
              <w:t>. specijalističkih studija</w:t>
            </w:r>
          </w:p>
        </w:tc>
        <w:tc>
          <w:tcPr>
            <w:tcW w:w="1276" w:type="dxa"/>
            <w:tcBorders>
              <w:top w:val="single" w:sz="4" w:space="0" w:color="auto"/>
              <w:left w:val="single" w:sz="4" w:space="0" w:color="auto"/>
              <w:bottom w:val="single" w:sz="4" w:space="0" w:color="auto"/>
              <w:right w:val="single" w:sz="4" w:space="0" w:color="auto"/>
            </w:tcBorders>
            <w:noWrap/>
            <w:vAlign w:val="center"/>
          </w:tcPr>
          <w:p w:rsidR="00C23345" w:rsidRPr="00D42118" w:rsidRDefault="00C23345" w:rsidP="007471C0">
            <w:pPr>
              <w:jc w:val="center"/>
              <w:rPr>
                <w:rFonts w:ascii="Times New Roman" w:hAnsi="Times New Roman"/>
              </w:rPr>
            </w:pPr>
            <w:r w:rsidRPr="00D42118">
              <w:rPr>
                <w:rFonts w:ascii="Times New Roman" w:hAnsi="Times New Roman"/>
              </w:rPr>
              <w:t xml:space="preserve">Usklađenje ponude i programa </w:t>
            </w:r>
            <w:r w:rsidR="007471C0">
              <w:rPr>
                <w:rFonts w:ascii="Times New Roman" w:hAnsi="Times New Roman"/>
              </w:rPr>
              <w:t>PDSS</w:t>
            </w:r>
            <w:r w:rsidRPr="00D42118">
              <w:rPr>
                <w:rFonts w:ascii="Times New Roman" w:hAnsi="Times New Roman"/>
              </w:rPr>
              <w:t xml:space="preserve"> s potrebama </w:t>
            </w:r>
            <w:proofErr w:type="spellStart"/>
            <w:r w:rsidRPr="00D42118">
              <w:rPr>
                <w:rFonts w:ascii="Times New Roman" w:hAnsi="Times New Roman"/>
              </w:rPr>
              <w:t>stomatološ</w:t>
            </w:r>
            <w:proofErr w:type="spellEnd"/>
            <w:r w:rsidRPr="00D42118">
              <w:rPr>
                <w:rFonts w:ascii="Times New Roman" w:hAnsi="Times New Roman"/>
              </w:rPr>
              <w:t xml:space="preserve">. </w:t>
            </w:r>
            <w:proofErr w:type="spellStart"/>
            <w:r w:rsidRPr="00D42118">
              <w:rPr>
                <w:rFonts w:ascii="Times New Roman" w:hAnsi="Times New Roman"/>
              </w:rPr>
              <w:t>specijaliza</w:t>
            </w:r>
            <w:proofErr w:type="spellEnd"/>
            <w:r w:rsidRPr="00D42118">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rsidR="00C23345" w:rsidRPr="00D42118" w:rsidRDefault="00C23345" w:rsidP="00C23345">
            <w:pPr>
              <w:jc w:val="center"/>
              <w:rPr>
                <w:rFonts w:ascii="Times New Roman" w:hAnsi="Times New Roman"/>
              </w:rPr>
            </w:pPr>
            <w:r w:rsidRPr="00D42118">
              <w:rPr>
                <w:rFonts w:ascii="Times New Roman" w:hAnsi="Times New Roman"/>
              </w:rPr>
              <w:t>Broj PDS-a kumulativ</w:t>
            </w:r>
          </w:p>
        </w:tc>
        <w:tc>
          <w:tcPr>
            <w:tcW w:w="1134" w:type="dxa"/>
            <w:tcBorders>
              <w:left w:val="single" w:sz="4" w:space="0" w:color="auto"/>
              <w:bottom w:val="single" w:sz="4" w:space="0" w:color="auto"/>
            </w:tcBorders>
            <w:noWrap/>
            <w:vAlign w:val="center"/>
          </w:tcPr>
          <w:p w:rsidR="00C23345" w:rsidRPr="00D42118" w:rsidRDefault="003F137D" w:rsidP="00C23345">
            <w:pPr>
              <w:jc w:val="center"/>
              <w:rPr>
                <w:rFonts w:ascii="Times New Roman" w:hAnsi="Times New Roman"/>
              </w:rPr>
            </w:pPr>
            <w:r>
              <w:rPr>
                <w:rFonts w:ascii="Times New Roman" w:hAnsi="Times New Roman"/>
              </w:rPr>
              <w:t>6</w:t>
            </w:r>
          </w:p>
        </w:tc>
        <w:tc>
          <w:tcPr>
            <w:tcW w:w="1276" w:type="dxa"/>
            <w:tcBorders>
              <w:bottom w:val="single" w:sz="4" w:space="0" w:color="auto"/>
            </w:tcBorders>
            <w:noWrap/>
            <w:vAlign w:val="center"/>
          </w:tcPr>
          <w:p w:rsidR="00C23345" w:rsidRPr="00D42118" w:rsidRDefault="00E30AD4" w:rsidP="00B16B32">
            <w:pPr>
              <w:jc w:val="center"/>
              <w:rPr>
                <w:rFonts w:ascii="Times New Roman" w:hAnsi="Times New Roman"/>
              </w:rPr>
            </w:pPr>
            <w:r w:rsidRPr="00D42118">
              <w:rPr>
                <w:rFonts w:ascii="Times New Roman" w:hAnsi="Times New Roman"/>
              </w:rPr>
              <w:t>Služba za studente i trajnu izobrazbu</w:t>
            </w:r>
          </w:p>
        </w:tc>
        <w:tc>
          <w:tcPr>
            <w:tcW w:w="1134" w:type="dxa"/>
            <w:tcBorders>
              <w:bottom w:val="single" w:sz="4" w:space="0" w:color="auto"/>
            </w:tcBorders>
            <w:noWrap/>
            <w:vAlign w:val="center"/>
          </w:tcPr>
          <w:p w:rsidR="00C23345" w:rsidRPr="00D42118" w:rsidRDefault="002E54CB" w:rsidP="00B16B32">
            <w:pPr>
              <w:jc w:val="center"/>
              <w:rPr>
                <w:rFonts w:ascii="Times New Roman" w:hAnsi="Times New Roman"/>
              </w:rPr>
            </w:pPr>
            <w:r w:rsidRPr="00D42118">
              <w:rPr>
                <w:rFonts w:ascii="Times New Roman" w:hAnsi="Times New Roman"/>
              </w:rPr>
              <w:t>6</w:t>
            </w:r>
          </w:p>
        </w:tc>
        <w:tc>
          <w:tcPr>
            <w:tcW w:w="1134" w:type="dxa"/>
            <w:tcBorders>
              <w:bottom w:val="single" w:sz="4" w:space="0" w:color="auto"/>
            </w:tcBorders>
            <w:noWrap/>
            <w:vAlign w:val="center"/>
          </w:tcPr>
          <w:p w:rsidR="00C23345" w:rsidRPr="00D42118" w:rsidRDefault="002A2032" w:rsidP="00B16B32">
            <w:pPr>
              <w:jc w:val="center"/>
              <w:rPr>
                <w:rFonts w:ascii="Times New Roman" w:hAnsi="Times New Roman"/>
              </w:rPr>
            </w:pPr>
            <w:r>
              <w:rPr>
                <w:rFonts w:ascii="Times New Roman" w:hAnsi="Times New Roman"/>
              </w:rPr>
              <w:t>6</w:t>
            </w:r>
          </w:p>
        </w:tc>
        <w:tc>
          <w:tcPr>
            <w:tcW w:w="1134" w:type="dxa"/>
            <w:tcBorders>
              <w:bottom w:val="single" w:sz="4" w:space="0" w:color="auto"/>
            </w:tcBorders>
            <w:noWrap/>
            <w:vAlign w:val="center"/>
          </w:tcPr>
          <w:p w:rsidR="00C23345" w:rsidRPr="00D42118" w:rsidRDefault="00D02E80" w:rsidP="00B16B32">
            <w:pPr>
              <w:jc w:val="center"/>
              <w:rPr>
                <w:rFonts w:ascii="Times New Roman" w:hAnsi="Times New Roman"/>
              </w:rPr>
            </w:pPr>
            <w:r>
              <w:rPr>
                <w:rFonts w:ascii="Times New Roman" w:hAnsi="Times New Roman"/>
              </w:rPr>
              <w:t>100,00</w:t>
            </w:r>
          </w:p>
        </w:tc>
      </w:tr>
    </w:tbl>
    <w:p w:rsidR="00147B1C" w:rsidRPr="00206ABA" w:rsidRDefault="0063287F" w:rsidP="00147B1C">
      <w:pPr>
        <w:spacing w:line="276" w:lineRule="auto"/>
        <w:jc w:val="both"/>
        <w:rPr>
          <w:rFonts w:ascii="Times New Roman" w:hAnsi="Times New Roman"/>
          <w:sz w:val="24"/>
          <w:szCs w:val="24"/>
        </w:rPr>
      </w:pPr>
      <w:r w:rsidRPr="00D42118">
        <w:rPr>
          <w:rFonts w:ascii="Times New Roman" w:eastAsia="Calibri" w:hAnsi="Times New Roman"/>
          <w:b/>
          <w:sz w:val="24"/>
          <w:szCs w:val="24"/>
        </w:rPr>
        <w:lastRenderedPageBreak/>
        <w:t>Uskladiti ponudu i programe poslijediplomskih specijalističkih studija na Stomatološkom fakultetu Sveučilišta u Zagrebu</w:t>
      </w:r>
      <w:r w:rsidR="001E6487">
        <w:rPr>
          <w:rFonts w:ascii="Times New Roman" w:hAnsi="Times New Roman"/>
          <w:sz w:val="24"/>
          <w:szCs w:val="24"/>
        </w:rPr>
        <w:t xml:space="preserve"> – od 2019. do 2025</w:t>
      </w:r>
      <w:r w:rsidR="00147B1C" w:rsidRPr="00D42118">
        <w:rPr>
          <w:rFonts w:ascii="Times New Roman" w:hAnsi="Times New Roman"/>
          <w:sz w:val="24"/>
          <w:szCs w:val="24"/>
        </w:rPr>
        <w:t xml:space="preserve">. godine osmišljeno je i uvedeno pet novih poslijediplomskih specijalističkih studija: „Dentalna </w:t>
      </w:r>
      <w:proofErr w:type="spellStart"/>
      <w:r w:rsidR="00147B1C" w:rsidRPr="00D42118">
        <w:rPr>
          <w:rFonts w:ascii="Times New Roman" w:hAnsi="Times New Roman"/>
          <w:sz w:val="24"/>
          <w:szCs w:val="24"/>
        </w:rPr>
        <w:t>implantologija</w:t>
      </w:r>
      <w:proofErr w:type="spellEnd"/>
      <w:r w:rsidR="00147B1C" w:rsidRPr="00D42118">
        <w:rPr>
          <w:rFonts w:ascii="Times New Roman" w:hAnsi="Times New Roman"/>
          <w:sz w:val="24"/>
          <w:szCs w:val="24"/>
        </w:rPr>
        <w:t>“, „Dentalno-medicinski turizam“, „Protetika dentalne medicine“,</w:t>
      </w:r>
      <w:r w:rsidR="00147B1C" w:rsidRPr="00D42118">
        <w:t xml:space="preserve">  </w:t>
      </w:r>
      <w:r w:rsidR="00147B1C" w:rsidRPr="008F75FC">
        <w:rPr>
          <w:rFonts w:ascii="Times New Roman" w:hAnsi="Times New Roman"/>
          <w:sz w:val="24"/>
          <w:szCs w:val="24"/>
        </w:rPr>
        <w:t xml:space="preserve">„Endodoncija i restaurativna dentalna medicina“ i „Estetika </w:t>
      </w:r>
      <w:proofErr w:type="spellStart"/>
      <w:r w:rsidR="00147B1C" w:rsidRPr="008F75FC">
        <w:rPr>
          <w:rFonts w:ascii="Times New Roman" w:hAnsi="Times New Roman"/>
          <w:sz w:val="24"/>
          <w:szCs w:val="24"/>
        </w:rPr>
        <w:t>orofacijalne</w:t>
      </w:r>
      <w:proofErr w:type="spellEnd"/>
      <w:r w:rsidR="00147B1C" w:rsidRPr="008F75FC">
        <w:rPr>
          <w:rFonts w:ascii="Times New Roman" w:hAnsi="Times New Roman"/>
          <w:sz w:val="24"/>
          <w:szCs w:val="24"/>
        </w:rPr>
        <w:t xml:space="preserve"> regije“ za koje su i ishođene do</w:t>
      </w:r>
      <w:r w:rsidR="00D42118">
        <w:rPr>
          <w:rFonts w:ascii="Times New Roman" w:hAnsi="Times New Roman"/>
          <w:sz w:val="24"/>
          <w:szCs w:val="24"/>
        </w:rPr>
        <w:t>pusnice Ministarstva znanosti, obrazovanja i mladih</w:t>
      </w:r>
      <w:r w:rsidR="00147B1C" w:rsidRPr="008F75FC">
        <w:rPr>
          <w:rFonts w:ascii="Times New Roman" w:hAnsi="Times New Roman"/>
          <w:sz w:val="24"/>
          <w:szCs w:val="24"/>
        </w:rPr>
        <w:t xml:space="preserve"> tako da na Stomatološkom fakultetu Sveučilišta u Zagrebu trenutno postoji šest poslijediplomskih specijalističkih studija (računajući i još uvijek aktivni studij „Dentalna </w:t>
      </w:r>
      <w:r w:rsidR="00147B1C" w:rsidRPr="00206ABA">
        <w:rPr>
          <w:rFonts w:ascii="Times New Roman" w:hAnsi="Times New Roman"/>
          <w:sz w:val="24"/>
          <w:szCs w:val="24"/>
        </w:rPr>
        <w:t>medicina“ pokrenut još 2007.g.).</w:t>
      </w:r>
    </w:p>
    <w:p w:rsidR="00147B1C" w:rsidRPr="00206ABA" w:rsidRDefault="00147B1C" w:rsidP="00147B1C">
      <w:pPr>
        <w:spacing w:line="276" w:lineRule="auto"/>
        <w:jc w:val="both"/>
        <w:rPr>
          <w:rFonts w:ascii="Times New Roman" w:hAnsi="Times New Roman"/>
          <w:sz w:val="24"/>
          <w:szCs w:val="24"/>
        </w:rPr>
      </w:pPr>
      <w:r w:rsidRPr="00206ABA">
        <w:rPr>
          <w:rFonts w:ascii="Times New Roman" w:hAnsi="Times New Roman"/>
          <w:sz w:val="24"/>
          <w:szCs w:val="24"/>
        </w:rPr>
        <w:t xml:space="preserve">S obzirom na konstantan napredak struke, osobito u tehnološkom smislu, u pripremi su novi poslijediplomski specijalistički studiji koji bi bili povezani s novim planom specijalizacija najavljenim od Ministarstva zdravstva. Stoga su predviđeni, i u fazi su pripreme, novi poslijediplomski specijalistički studiji iz područja </w:t>
      </w:r>
      <w:r w:rsidRPr="008F75FC">
        <w:rPr>
          <w:rFonts w:ascii="Times New Roman" w:hAnsi="Times New Roman"/>
          <w:sz w:val="24"/>
          <w:szCs w:val="24"/>
        </w:rPr>
        <w:t>digitalne dentalne medicine.</w:t>
      </w:r>
    </w:p>
    <w:p w:rsidR="00EA1D34" w:rsidRPr="00D42118" w:rsidRDefault="00EA1D34" w:rsidP="000516E8">
      <w:pPr>
        <w:jc w:val="both"/>
        <w:rPr>
          <w:rFonts w:ascii="Times New Roman" w:hAnsi="Times New Roman"/>
          <w:b/>
          <w:bCs/>
          <w:sz w:val="24"/>
          <w:szCs w:val="24"/>
        </w:rPr>
      </w:pPr>
    </w:p>
    <w:p w:rsidR="000516E8" w:rsidRPr="00D42118" w:rsidRDefault="005E6F50" w:rsidP="000516E8">
      <w:pPr>
        <w:jc w:val="both"/>
        <w:rPr>
          <w:rFonts w:ascii="Times New Roman" w:hAnsi="Times New Roman"/>
          <w:b/>
          <w:sz w:val="24"/>
          <w:szCs w:val="24"/>
        </w:rPr>
      </w:pPr>
      <w:r w:rsidRPr="00D42118">
        <w:rPr>
          <w:rFonts w:ascii="Times New Roman" w:hAnsi="Times New Roman"/>
          <w:b/>
          <w:bCs/>
          <w:sz w:val="24"/>
          <w:szCs w:val="24"/>
        </w:rPr>
        <w:t xml:space="preserve">CILJ </w:t>
      </w:r>
      <w:r w:rsidR="000516E8" w:rsidRPr="00D42118">
        <w:rPr>
          <w:rFonts w:ascii="Times New Roman" w:hAnsi="Times New Roman"/>
          <w:b/>
          <w:bCs/>
          <w:sz w:val="24"/>
          <w:szCs w:val="24"/>
        </w:rPr>
        <w:t xml:space="preserve">4. </w:t>
      </w:r>
      <w:r w:rsidR="0063287F" w:rsidRPr="00D42118">
        <w:rPr>
          <w:rFonts w:ascii="Times New Roman" w:hAnsi="Times New Roman"/>
          <w:b/>
          <w:bCs/>
          <w:sz w:val="24"/>
          <w:szCs w:val="24"/>
        </w:rPr>
        <w:t xml:space="preserve">POKAZATELJI UČINKA </w:t>
      </w:r>
      <w:r w:rsidR="00DE4AE3" w:rsidRPr="00D42118">
        <w:rPr>
          <w:rFonts w:ascii="Times New Roman" w:hAnsi="Times New Roman"/>
          <w:b/>
          <w:sz w:val="24"/>
          <w:szCs w:val="24"/>
        </w:rPr>
        <w:t xml:space="preserve">PODIZANJE INDEKSA USPJEŠNOSTI PROGRAMA TRAJNE IZOBRAZBE U ORGANIZACIJI STOMATOLOŠKOG FAKULTETA </w:t>
      </w:r>
    </w:p>
    <w:p w:rsidR="000516E8" w:rsidRPr="00D42118" w:rsidRDefault="000516E8" w:rsidP="000516E8">
      <w:pPr>
        <w:jc w:val="both"/>
        <w:rPr>
          <w:rFonts w:ascii="Times New Roman" w:hAnsi="Times New Roman"/>
          <w:b/>
          <w:bCs/>
          <w:sz w:val="24"/>
          <w:szCs w:val="24"/>
        </w:rPr>
      </w:pPr>
      <w:r w:rsidRPr="00D42118">
        <w:rPr>
          <w:rFonts w:ascii="Times New Roman" w:hAnsi="Times New Roman"/>
          <w:b/>
          <w:bCs/>
          <w:sz w:val="24"/>
          <w:szCs w:val="24"/>
        </w:rPr>
        <w:t>OBRAZLOŽENJE CILJA</w:t>
      </w:r>
    </w:p>
    <w:p w:rsidR="00DE4AE3" w:rsidRPr="00D42118" w:rsidRDefault="00DE4AE3" w:rsidP="000516E8">
      <w:pPr>
        <w:jc w:val="both"/>
        <w:rPr>
          <w:rFonts w:ascii="Times New Roman" w:hAnsi="Times New Roman"/>
          <w:b/>
          <w:bCs/>
          <w:sz w:val="24"/>
          <w:szCs w:val="24"/>
        </w:rPr>
      </w:pPr>
    </w:p>
    <w:tbl>
      <w:tblPr>
        <w:tblW w:w="9634" w:type="dxa"/>
        <w:jc w:val="center"/>
        <w:tblLayout w:type="fixed"/>
        <w:tblLook w:val="00A0" w:firstRow="1" w:lastRow="0" w:firstColumn="1" w:lastColumn="0" w:noHBand="0" w:noVBand="0"/>
      </w:tblPr>
      <w:tblGrid>
        <w:gridCol w:w="1413"/>
        <w:gridCol w:w="1276"/>
        <w:gridCol w:w="1134"/>
        <w:gridCol w:w="1134"/>
        <w:gridCol w:w="1275"/>
        <w:gridCol w:w="1134"/>
        <w:gridCol w:w="1269"/>
        <w:gridCol w:w="999"/>
      </w:tblGrid>
      <w:tr w:rsidR="00D42118" w:rsidRPr="00D42118" w:rsidTr="00981267">
        <w:trPr>
          <w:trHeight w:val="726"/>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Pokazatelj</w:t>
            </w:r>
          </w:p>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rezultata</w:t>
            </w:r>
          </w:p>
          <w:p w:rsidR="000516E8" w:rsidRPr="00D42118" w:rsidRDefault="000516E8" w:rsidP="00E30AD4">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Polazna vrijednost</w:t>
            </w:r>
          </w:p>
        </w:tc>
        <w:tc>
          <w:tcPr>
            <w:tcW w:w="1275"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E30AD4">
            <w:pPr>
              <w:jc w:val="center"/>
              <w:rPr>
                <w:rFonts w:ascii="Times New Roman" w:hAnsi="Times New Roman"/>
                <w:b/>
                <w:bCs/>
                <w:sz w:val="18"/>
                <w:szCs w:val="18"/>
              </w:rPr>
            </w:pPr>
            <w:r w:rsidRPr="00D42118">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63287F" w:rsidRPr="00D42118" w:rsidRDefault="0063287F" w:rsidP="00E30AD4">
            <w:pPr>
              <w:jc w:val="center"/>
              <w:rPr>
                <w:rFonts w:ascii="Times New Roman" w:hAnsi="Times New Roman"/>
                <w:b/>
                <w:bCs/>
                <w:sz w:val="18"/>
                <w:szCs w:val="18"/>
              </w:rPr>
            </w:pPr>
            <w:r w:rsidRPr="00D42118">
              <w:rPr>
                <w:rFonts w:ascii="Times New Roman" w:hAnsi="Times New Roman"/>
                <w:b/>
                <w:bCs/>
                <w:sz w:val="18"/>
                <w:szCs w:val="18"/>
              </w:rPr>
              <w:t>Planirana</w:t>
            </w:r>
          </w:p>
          <w:p w:rsidR="000516E8" w:rsidRPr="00D42118" w:rsidRDefault="001E6487" w:rsidP="00E30AD4">
            <w:pPr>
              <w:jc w:val="center"/>
              <w:rPr>
                <w:rFonts w:ascii="Times New Roman" w:hAnsi="Times New Roman"/>
                <w:b/>
                <w:bCs/>
                <w:sz w:val="18"/>
                <w:szCs w:val="18"/>
              </w:rPr>
            </w:pPr>
            <w:r>
              <w:rPr>
                <w:rFonts w:ascii="Times New Roman" w:hAnsi="Times New Roman"/>
                <w:b/>
                <w:bCs/>
                <w:sz w:val="18"/>
                <w:szCs w:val="18"/>
              </w:rPr>
              <w:t>vrijednost 2025</w:t>
            </w:r>
            <w:r w:rsidR="000516E8" w:rsidRPr="00D42118">
              <w:rPr>
                <w:rFonts w:ascii="Times New Roman" w:hAnsi="Times New Roman"/>
                <w:b/>
                <w:bCs/>
                <w:sz w:val="18"/>
                <w:szCs w:val="18"/>
              </w:rPr>
              <w:t>.</w:t>
            </w:r>
          </w:p>
        </w:tc>
        <w:tc>
          <w:tcPr>
            <w:tcW w:w="1269"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1E6487" w:rsidP="00E30AD4">
            <w:pPr>
              <w:jc w:val="center"/>
              <w:rPr>
                <w:rFonts w:ascii="Times New Roman" w:hAnsi="Times New Roman"/>
                <w:b/>
                <w:bCs/>
                <w:sz w:val="18"/>
                <w:szCs w:val="18"/>
              </w:rPr>
            </w:pPr>
            <w:r>
              <w:rPr>
                <w:rFonts w:ascii="Times New Roman" w:hAnsi="Times New Roman"/>
                <w:b/>
                <w:bCs/>
                <w:sz w:val="18"/>
                <w:szCs w:val="18"/>
              </w:rPr>
              <w:t>Ostvarena vrijednost 2025</w:t>
            </w:r>
            <w:r w:rsidR="000516E8" w:rsidRPr="00D42118">
              <w:rPr>
                <w:rFonts w:ascii="Times New Roman" w:hAnsi="Times New Roman"/>
                <w:b/>
                <w:bCs/>
                <w:sz w:val="18"/>
                <w:szCs w:val="18"/>
              </w:rPr>
              <w:t>.</w:t>
            </w:r>
          </w:p>
        </w:tc>
        <w:tc>
          <w:tcPr>
            <w:tcW w:w="999" w:type="dxa"/>
            <w:tcBorders>
              <w:top w:val="single" w:sz="4" w:space="0" w:color="auto"/>
              <w:left w:val="nil"/>
              <w:bottom w:val="single" w:sz="4" w:space="0" w:color="auto"/>
              <w:right w:val="single" w:sz="4" w:space="0" w:color="auto"/>
            </w:tcBorders>
            <w:shd w:val="clear" w:color="auto" w:fill="D9D9D9"/>
            <w:vAlign w:val="center"/>
          </w:tcPr>
          <w:p w:rsidR="000516E8" w:rsidRPr="00D42118" w:rsidRDefault="0063287F" w:rsidP="00E30AD4">
            <w:pPr>
              <w:jc w:val="center"/>
              <w:rPr>
                <w:rFonts w:ascii="Times New Roman" w:hAnsi="Times New Roman"/>
                <w:b/>
                <w:bCs/>
                <w:sz w:val="18"/>
                <w:szCs w:val="18"/>
              </w:rPr>
            </w:pPr>
            <w:r w:rsidRPr="00D42118">
              <w:rPr>
                <w:rFonts w:ascii="Times New Roman" w:hAnsi="Times New Roman"/>
                <w:b/>
                <w:bCs/>
                <w:sz w:val="18"/>
                <w:szCs w:val="18"/>
              </w:rPr>
              <w:t>Indeks</w:t>
            </w:r>
          </w:p>
        </w:tc>
      </w:tr>
      <w:tr w:rsidR="00D42118" w:rsidRPr="00D42118" w:rsidTr="00981267">
        <w:trPr>
          <w:trHeight w:val="532"/>
          <w:jc w:val="center"/>
        </w:trPr>
        <w:tc>
          <w:tcPr>
            <w:tcW w:w="1413" w:type="dxa"/>
            <w:tcBorders>
              <w:top w:val="nil"/>
              <w:left w:val="single" w:sz="4" w:space="0" w:color="auto"/>
              <w:bottom w:val="single" w:sz="4" w:space="0" w:color="auto"/>
              <w:right w:val="single" w:sz="4" w:space="0" w:color="auto"/>
            </w:tcBorders>
            <w:vAlign w:val="center"/>
          </w:tcPr>
          <w:p w:rsidR="000516E8" w:rsidRPr="00D42118" w:rsidRDefault="000516E8" w:rsidP="00E30AD4">
            <w:pPr>
              <w:jc w:val="center"/>
              <w:rPr>
                <w:rFonts w:ascii="Times New Roman" w:hAnsi="Times New Roman"/>
              </w:rPr>
            </w:pPr>
            <w:r w:rsidRPr="00D42118">
              <w:rPr>
                <w:rFonts w:ascii="Times New Roman" w:hAnsi="Times New Roman"/>
              </w:rPr>
              <w:t>Indeks</w:t>
            </w:r>
          </w:p>
          <w:p w:rsidR="000516E8" w:rsidRPr="00D42118" w:rsidRDefault="000516E8" w:rsidP="00E30AD4">
            <w:pPr>
              <w:jc w:val="center"/>
              <w:rPr>
                <w:rFonts w:ascii="Times New Roman" w:hAnsi="Times New Roman"/>
              </w:rPr>
            </w:pPr>
            <w:r w:rsidRPr="00D42118">
              <w:rPr>
                <w:rFonts w:ascii="Times New Roman" w:hAnsi="Times New Roman"/>
              </w:rPr>
              <w:t>uspješnosti programa</w:t>
            </w:r>
          </w:p>
          <w:p w:rsidR="000516E8" w:rsidRPr="00D42118" w:rsidRDefault="000516E8" w:rsidP="00E30AD4">
            <w:pPr>
              <w:jc w:val="center"/>
              <w:rPr>
                <w:rFonts w:ascii="Times New Roman" w:hAnsi="Times New Roman"/>
              </w:rPr>
            </w:pPr>
            <w:r w:rsidRPr="00D42118">
              <w:rPr>
                <w:rFonts w:ascii="Times New Roman" w:hAnsi="Times New Roman"/>
              </w:rPr>
              <w:t>trajne izobrazbe</w:t>
            </w:r>
          </w:p>
        </w:tc>
        <w:tc>
          <w:tcPr>
            <w:tcW w:w="1276" w:type="dxa"/>
            <w:tcBorders>
              <w:top w:val="nil"/>
              <w:left w:val="nil"/>
              <w:bottom w:val="single" w:sz="4" w:space="0" w:color="auto"/>
              <w:right w:val="single" w:sz="4" w:space="0" w:color="auto"/>
            </w:tcBorders>
            <w:noWrap/>
            <w:vAlign w:val="center"/>
          </w:tcPr>
          <w:p w:rsidR="000516E8" w:rsidRPr="00D42118" w:rsidRDefault="000516E8" w:rsidP="00E30AD4">
            <w:pPr>
              <w:jc w:val="center"/>
              <w:rPr>
                <w:rFonts w:ascii="Times New Roman" w:hAnsi="Times New Roman"/>
              </w:rPr>
            </w:pPr>
            <w:r w:rsidRPr="00D42118">
              <w:rPr>
                <w:rFonts w:ascii="Times New Roman" w:hAnsi="Times New Roman"/>
              </w:rPr>
              <w:t>Podizanje indeksa</w:t>
            </w:r>
          </w:p>
          <w:p w:rsidR="000516E8" w:rsidRPr="00D42118" w:rsidRDefault="000516E8" w:rsidP="00E30AD4">
            <w:pPr>
              <w:jc w:val="center"/>
              <w:rPr>
                <w:rFonts w:ascii="Times New Roman" w:hAnsi="Times New Roman"/>
              </w:rPr>
            </w:pPr>
            <w:r w:rsidRPr="00D42118">
              <w:rPr>
                <w:rFonts w:ascii="Times New Roman" w:hAnsi="Times New Roman"/>
              </w:rPr>
              <w:t>uspješnosti programa</w:t>
            </w:r>
          </w:p>
          <w:p w:rsidR="000516E8" w:rsidRPr="00D42118" w:rsidRDefault="000516E8" w:rsidP="00E30AD4">
            <w:pPr>
              <w:jc w:val="center"/>
              <w:rPr>
                <w:rFonts w:ascii="Times New Roman" w:hAnsi="Times New Roman"/>
              </w:rPr>
            </w:pPr>
            <w:r w:rsidRPr="00D42118">
              <w:rPr>
                <w:rFonts w:ascii="Times New Roman" w:hAnsi="Times New Roman"/>
              </w:rPr>
              <w:t>trajne izobrazbe</w:t>
            </w:r>
          </w:p>
        </w:tc>
        <w:tc>
          <w:tcPr>
            <w:tcW w:w="1134" w:type="dxa"/>
            <w:tcBorders>
              <w:top w:val="nil"/>
              <w:left w:val="nil"/>
              <w:bottom w:val="single" w:sz="4" w:space="0" w:color="auto"/>
              <w:right w:val="single" w:sz="4" w:space="0" w:color="auto"/>
            </w:tcBorders>
            <w:noWrap/>
            <w:vAlign w:val="center"/>
          </w:tcPr>
          <w:p w:rsidR="000516E8" w:rsidRPr="00D42118" w:rsidRDefault="000516E8" w:rsidP="00E30AD4">
            <w:pPr>
              <w:jc w:val="center"/>
              <w:rPr>
                <w:rFonts w:ascii="Times New Roman" w:hAnsi="Times New Roman"/>
              </w:rPr>
            </w:pPr>
            <w:r w:rsidRPr="00D42118">
              <w:rPr>
                <w:rFonts w:ascii="Times New Roman" w:hAnsi="Times New Roman"/>
              </w:rPr>
              <w:t>bod</w:t>
            </w:r>
          </w:p>
        </w:tc>
        <w:tc>
          <w:tcPr>
            <w:tcW w:w="1134" w:type="dxa"/>
            <w:tcBorders>
              <w:top w:val="nil"/>
              <w:left w:val="nil"/>
              <w:bottom w:val="single" w:sz="4" w:space="0" w:color="auto"/>
              <w:right w:val="single" w:sz="4" w:space="0" w:color="auto"/>
            </w:tcBorders>
            <w:noWrap/>
            <w:vAlign w:val="center"/>
          </w:tcPr>
          <w:p w:rsidR="000516E8" w:rsidRPr="00D42118" w:rsidRDefault="003F137D" w:rsidP="00E30AD4">
            <w:pPr>
              <w:jc w:val="center"/>
              <w:rPr>
                <w:rFonts w:ascii="Times New Roman" w:hAnsi="Times New Roman"/>
              </w:rPr>
            </w:pPr>
            <w:r>
              <w:rPr>
                <w:rFonts w:ascii="Times New Roman" w:hAnsi="Times New Roman"/>
              </w:rPr>
              <w:t>85</w:t>
            </w:r>
          </w:p>
          <w:p w:rsidR="000516E8" w:rsidRPr="00D42118" w:rsidRDefault="000516E8" w:rsidP="00E30AD4">
            <w:pPr>
              <w:jc w:val="center"/>
              <w:rPr>
                <w:rFonts w:ascii="Times New Roman" w:hAnsi="Times New Roman"/>
              </w:rPr>
            </w:pPr>
            <w:r w:rsidRPr="00D42118">
              <w:rPr>
                <w:rFonts w:ascii="Times New Roman" w:hAnsi="Times New Roman"/>
              </w:rPr>
              <w:t>bodova</w:t>
            </w:r>
          </w:p>
        </w:tc>
        <w:tc>
          <w:tcPr>
            <w:tcW w:w="1275" w:type="dxa"/>
            <w:tcBorders>
              <w:top w:val="nil"/>
              <w:left w:val="nil"/>
              <w:bottom w:val="single" w:sz="4" w:space="0" w:color="auto"/>
              <w:right w:val="single" w:sz="4" w:space="0" w:color="auto"/>
            </w:tcBorders>
            <w:noWrap/>
            <w:vAlign w:val="center"/>
          </w:tcPr>
          <w:p w:rsidR="000516E8" w:rsidRPr="00D42118" w:rsidRDefault="000516E8" w:rsidP="00E30AD4">
            <w:pPr>
              <w:jc w:val="center"/>
              <w:rPr>
                <w:rFonts w:ascii="Times New Roman" w:hAnsi="Times New Roman"/>
              </w:rPr>
            </w:pPr>
            <w:r w:rsidRPr="00D42118">
              <w:rPr>
                <w:rFonts w:ascii="Times New Roman" w:hAnsi="Times New Roman"/>
              </w:rPr>
              <w:t>Služba za studente i trajnu izobrazbu</w:t>
            </w:r>
          </w:p>
        </w:tc>
        <w:tc>
          <w:tcPr>
            <w:tcW w:w="1134" w:type="dxa"/>
            <w:tcBorders>
              <w:top w:val="nil"/>
              <w:left w:val="nil"/>
              <w:bottom w:val="single" w:sz="4" w:space="0" w:color="auto"/>
              <w:right w:val="single" w:sz="4" w:space="0" w:color="auto"/>
            </w:tcBorders>
            <w:noWrap/>
            <w:vAlign w:val="center"/>
          </w:tcPr>
          <w:p w:rsidR="000516E8" w:rsidRPr="00D42118" w:rsidRDefault="003F137D" w:rsidP="00E30AD4">
            <w:pPr>
              <w:jc w:val="center"/>
              <w:rPr>
                <w:rFonts w:ascii="Times New Roman" w:hAnsi="Times New Roman"/>
              </w:rPr>
            </w:pPr>
            <w:r w:rsidRPr="003F137D">
              <w:rPr>
                <w:rFonts w:ascii="Times New Roman" w:hAnsi="Times New Roman"/>
              </w:rPr>
              <w:t>Novi indeks uspješnosti u izradi, s novom skalom bodovanja</w:t>
            </w:r>
          </w:p>
        </w:tc>
        <w:tc>
          <w:tcPr>
            <w:tcW w:w="1269" w:type="dxa"/>
            <w:tcBorders>
              <w:top w:val="nil"/>
              <w:left w:val="nil"/>
              <w:bottom w:val="single" w:sz="4" w:space="0" w:color="auto"/>
              <w:right w:val="single" w:sz="4" w:space="0" w:color="auto"/>
            </w:tcBorders>
            <w:noWrap/>
            <w:vAlign w:val="center"/>
          </w:tcPr>
          <w:p w:rsidR="000516E8" w:rsidRPr="00D42118" w:rsidRDefault="00981267" w:rsidP="00981267">
            <w:pPr>
              <w:jc w:val="center"/>
              <w:rPr>
                <w:rFonts w:ascii="Times New Roman" w:hAnsi="Times New Roman"/>
              </w:rPr>
            </w:pPr>
            <w:r w:rsidRPr="00D02E80">
              <w:rPr>
                <w:rFonts w:ascii="Times New Roman" w:hAnsi="Times New Roman"/>
              </w:rPr>
              <w:t>Izrađen novi indeks uspješnosti, s novom skalom bodovanja</w:t>
            </w:r>
          </w:p>
        </w:tc>
        <w:tc>
          <w:tcPr>
            <w:tcW w:w="999" w:type="dxa"/>
            <w:tcBorders>
              <w:top w:val="nil"/>
              <w:left w:val="nil"/>
              <w:bottom w:val="single" w:sz="4" w:space="0" w:color="auto"/>
              <w:right w:val="single" w:sz="4" w:space="0" w:color="auto"/>
            </w:tcBorders>
            <w:noWrap/>
            <w:vAlign w:val="center"/>
          </w:tcPr>
          <w:p w:rsidR="000516E8" w:rsidRPr="00D42118" w:rsidRDefault="00D02E80" w:rsidP="00D42118">
            <w:pPr>
              <w:jc w:val="center"/>
              <w:rPr>
                <w:rFonts w:ascii="Times New Roman" w:hAnsi="Times New Roman"/>
              </w:rPr>
            </w:pPr>
            <w:r>
              <w:rPr>
                <w:rFonts w:ascii="Times New Roman" w:hAnsi="Times New Roman"/>
              </w:rPr>
              <w:t>-</w:t>
            </w:r>
          </w:p>
        </w:tc>
      </w:tr>
    </w:tbl>
    <w:p w:rsidR="000516E8" w:rsidRPr="00D42118" w:rsidRDefault="000516E8" w:rsidP="000516E8">
      <w:pPr>
        <w:jc w:val="both"/>
        <w:rPr>
          <w:rFonts w:ascii="Times New Roman" w:hAnsi="Times New Roman"/>
          <w:sz w:val="24"/>
          <w:szCs w:val="24"/>
        </w:rPr>
      </w:pPr>
    </w:p>
    <w:p w:rsidR="00981267" w:rsidRDefault="0063287F" w:rsidP="00D42118">
      <w:pPr>
        <w:spacing w:line="276" w:lineRule="auto"/>
        <w:jc w:val="both"/>
        <w:rPr>
          <w:rFonts w:ascii="Times New Roman" w:hAnsi="Times New Roman"/>
          <w:color w:val="FF0000"/>
          <w:sz w:val="24"/>
          <w:szCs w:val="24"/>
        </w:rPr>
      </w:pPr>
      <w:r w:rsidRPr="00D42118">
        <w:rPr>
          <w:rFonts w:ascii="Times New Roman" w:eastAsia="Calibri" w:hAnsi="Times New Roman"/>
          <w:b/>
          <w:sz w:val="24"/>
          <w:szCs w:val="24"/>
        </w:rPr>
        <w:t xml:space="preserve">Podizanje indeksa uspješnosti programa trajne izobrazbe u organizaciji Stomatološkog fakulteta Sveučilišta u </w:t>
      </w:r>
      <w:r w:rsidR="00D42118" w:rsidRPr="00D42118">
        <w:rPr>
          <w:rFonts w:ascii="Times New Roman" w:hAnsi="Times New Roman"/>
          <w:b/>
          <w:sz w:val="24"/>
          <w:szCs w:val="24"/>
        </w:rPr>
        <w:t>Zagrebu</w:t>
      </w:r>
      <w:r w:rsidR="001E6487">
        <w:rPr>
          <w:rFonts w:ascii="Times New Roman" w:hAnsi="Times New Roman"/>
          <w:sz w:val="24"/>
          <w:szCs w:val="24"/>
        </w:rPr>
        <w:t xml:space="preserve"> - </w:t>
      </w:r>
      <w:r w:rsidR="00D42118" w:rsidRPr="00D42118">
        <w:rPr>
          <w:rFonts w:ascii="Times New Roman" w:hAnsi="Times New Roman"/>
          <w:sz w:val="24"/>
          <w:szCs w:val="24"/>
        </w:rPr>
        <w:t>U programu trajne izobrazbe na Stomatološkom fakultetu u Zagrebu najvećim se dijelom održavaju radni tečajevi s izravnim a</w:t>
      </w:r>
      <w:r w:rsidR="001E6487">
        <w:rPr>
          <w:rFonts w:ascii="Times New Roman" w:hAnsi="Times New Roman"/>
          <w:sz w:val="24"/>
          <w:szCs w:val="24"/>
        </w:rPr>
        <w:t xml:space="preserve">ngažmanom svih sudionika. </w:t>
      </w:r>
    </w:p>
    <w:p w:rsidR="00D42118" w:rsidRPr="00981267" w:rsidRDefault="00981267" w:rsidP="00981267">
      <w:pPr>
        <w:spacing w:line="276" w:lineRule="auto"/>
        <w:jc w:val="both"/>
        <w:rPr>
          <w:rFonts w:ascii="Times New Roman" w:hAnsi="Times New Roman"/>
          <w:sz w:val="24"/>
          <w:szCs w:val="24"/>
        </w:rPr>
      </w:pPr>
      <w:r w:rsidRPr="00D02E80">
        <w:rPr>
          <w:rFonts w:ascii="Times New Roman" w:hAnsi="Times New Roman"/>
          <w:sz w:val="24"/>
          <w:szCs w:val="24"/>
        </w:rPr>
        <w:t xml:space="preserve">Na temelju članka 14. novog Pravilnika o cjeloživotnom obrazovanju Stomatološkog fakulteta Sveučilišta u Zagrebu, koji je stupio na snagu 2025. godine, uveden je novi indeks uspješnosti programa cjeloživotnog obrazovanja. Navedeni indeks temelji se na </w:t>
      </w:r>
      <w:proofErr w:type="spellStart"/>
      <w:r w:rsidRPr="00D02E80">
        <w:rPr>
          <w:rFonts w:ascii="Times New Roman" w:hAnsi="Times New Roman"/>
          <w:sz w:val="24"/>
          <w:szCs w:val="24"/>
        </w:rPr>
        <w:t>ponderiranju</w:t>
      </w:r>
      <w:proofErr w:type="spellEnd"/>
      <w:r w:rsidRPr="00D02E80">
        <w:rPr>
          <w:rFonts w:ascii="Times New Roman" w:hAnsi="Times New Roman"/>
          <w:sz w:val="24"/>
          <w:szCs w:val="24"/>
        </w:rPr>
        <w:t xml:space="preserve"> ključnih pokazatelja, uključujući broj sudionika, financijski doprinos te ukupni doseg programa, s ciljem objektivnijeg vrednovanja njihove učinkovitosti i razvoja. Očekuje se da će vrijednost indeksa uspješnosti u narednom razdoblju prelaziti 1,0, uz kontinuirani trend rasta. Takva projekcija utemeljena je na već evidentiranom povećanju financijskog doprinosa programa, kao i na porastu interesa i broja sudionika. Slijedom navedenog, predviđa se daljnje povećanje vrijednosti indeksa u svakoj narednoj godini provedbe.</w:t>
      </w:r>
      <w:r w:rsidR="00D42118" w:rsidRPr="00981267">
        <w:rPr>
          <w:rFonts w:ascii="Times New Roman" w:hAnsi="Times New Roman"/>
          <w:sz w:val="24"/>
          <w:szCs w:val="24"/>
        </w:rPr>
        <w:t xml:space="preserve"> </w:t>
      </w:r>
    </w:p>
    <w:p w:rsidR="00EA1D34" w:rsidRPr="00D42118" w:rsidRDefault="00EA1D34" w:rsidP="00D42118">
      <w:pPr>
        <w:spacing w:line="276" w:lineRule="auto"/>
        <w:jc w:val="both"/>
        <w:rPr>
          <w:rFonts w:ascii="Times New Roman" w:hAnsi="Times New Roman"/>
          <w:b/>
          <w:bCs/>
          <w:sz w:val="24"/>
          <w:szCs w:val="24"/>
        </w:rPr>
      </w:pPr>
    </w:p>
    <w:p w:rsidR="007471C0" w:rsidRDefault="007471C0" w:rsidP="000516E8">
      <w:pPr>
        <w:jc w:val="both"/>
        <w:rPr>
          <w:rFonts w:ascii="Times New Roman" w:hAnsi="Times New Roman"/>
          <w:b/>
          <w:bCs/>
          <w:sz w:val="24"/>
          <w:szCs w:val="24"/>
        </w:rPr>
      </w:pPr>
    </w:p>
    <w:p w:rsidR="007471C0" w:rsidRDefault="007471C0" w:rsidP="000516E8">
      <w:pPr>
        <w:jc w:val="both"/>
        <w:rPr>
          <w:rFonts w:ascii="Times New Roman" w:hAnsi="Times New Roman"/>
          <w:b/>
          <w:bCs/>
          <w:sz w:val="24"/>
          <w:szCs w:val="24"/>
        </w:rPr>
      </w:pPr>
    </w:p>
    <w:p w:rsidR="007471C0" w:rsidRDefault="007471C0" w:rsidP="000516E8">
      <w:pPr>
        <w:jc w:val="both"/>
        <w:rPr>
          <w:rFonts w:ascii="Times New Roman" w:hAnsi="Times New Roman"/>
          <w:b/>
          <w:bCs/>
          <w:sz w:val="24"/>
          <w:szCs w:val="24"/>
        </w:rPr>
      </w:pPr>
    </w:p>
    <w:p w:rsidR="007471C0" w:rsidRDefault="007471C0" w:rsidP="000516E8">
      <w:pPr>
        <w:jc w:val="both"/>
        <w:rPr>
          <w:rFonts w:ascii="Times New Roman" w:hAnsi="Times New Roman"/>
          <w:b/>
          <w:bCs/>
          <w:sz w:val="24"/>
          <w:szCs w:val="24"/>
        </w:rPr>
      </w:pPr>
    </w:p>
    <w:p w:rsidR="007471C0" w:rsidRDefault="007471C0" w:rsidP="000516E8">
      <w:pPr>
        <w:jc w:val="both"/>
        <w:rPr>
          <w:rFonts w:ascii="Times New Roman" w:hAnsi="Times New Roman"/>
          <w:b/>
          <w:bCs/>
          <w:sz w:val="24"/>
          <w:szCs w:val="24"/>
        </w:rPr>
      </w:pPr>
    </w:p>
    <w:p w:rsidR="007471C0" w:rsidRDefault="007471C0" w:rsidP="000516E8">
      <w:pPr>
        <w:jc w:val="both"/>
        <w:rPr>
          <w:rFonts w:ascii="Times New Roman" w:hAnsi="Times New Roman"/>
          <w:b/>
          <w:bCs/>
          <w:sz w:val="24"/>
          <w:szCs w:val="24"/>
        </w:rPr>
      </w:pPr>
    </w:p>
    <w:p w:rsidR="007471C0" w:rsidRDefault="007471C0" w:rsidP="000516E8">
      <w:pPr>
        <w:jc w:val="both"/>
        <w:rPr>
          <w:rFonts w:ascii="Times New Roman" w:hAnsi="Times New Roman"/>
          <w:b/>
          <w:bCs/>
          <w:sz w:val="24"/>
          <w:szCs w:val="24"/>
        </w:rPr>
      </w:pPr>
    </w:p>
    <w:p w:rsidR="00E30AD4" w:rsidRPr="00D42118" w:rsidRDefault="0063287F" w:rsidP="000516E8">
      <w:pPr>
        <w:jc w:val="both"/>
        <w:rPr>
          <w:rFonts w:ascii="Times New Roman" w:hAnsi="Times New Roman"/>
          <w:b/>
          <w:sz w:val="24"/>
          <w:szCs w:val="24"/>
        </w:rPr>
      </w:pPr>
      <w:r w:rsidRPr="00D42118">
        <w:rPr>
          <w:rFonts w:ascii="Times New Roman" w:hAnsi="Times New Roman"/>
          <w:b/>
          <w:bCs/>
          <w:sz w:val="24"/>
          <w:szCs w:val="24"/>
        </w:rPr>
        <w:lastRenderedPageBreak/>
        <w:t>CILJ 5</w:t>
      </w:r>
      <w:r w:rsidR="000516E8" w:rsidRPr="00D42118">
        <w:rPr>
          <w:rFonts w:ascii="Times New Roman" w:hAnsi="Times New Roman"/>
          <w:b/>
          <w:bCs/>
          <w:sz w:val="24"/>
          <w:szCs w:val="24"/>
        </w:rPr>
        <w:t>.</w:t>
      </w:r>
      <w:r w:rsidR="000516E8" w:rsidRPr="00D42118">
        <w:rPr>
          <w:rFonts w:ascii="Times New Roman" w:hAnsi="Times New Roman"/>
          <w:sz w:val="24"/>
          <w:szCs w:val="24"/>
        </w:rPr>
        <w:t xml:space="preserve"> </w:t>
      </w:r>
      <w:r w:rsidR="00E30AD4" w:rsidRPr="00D42118">
        <w:rPr>
          <w:rFonts w:ascii="Times New Roman" w:hAnsi="Times New Roman"/>
          <w:b/>
          <w:sz w:val="24"/>
          <w:szCs w:val="24"/>
        </w:rPr>
        <w:t>P</w:t>
      </w:r>
      <w:r w:rsidRPr="00D42118">
        <w:rPr>
          <w:rFonts w:ascii="Times New Roman" w:hAnsi="Times New Roman"/>
          <w:b/>
          <w:sz w:val="24"/>
          <w:szCs w:val="24"/>
        </w:rPr>
        <w:t>POKAZATELJI UČINKA P</w:t>
      </w:r>
      <w:r w:rsidR="00E30AD4" w:rsidRPr="00D42118">
        <w:rPr>
          <w:rFonts w:ascii="Times New Roman" w:hAnsi="Times New Roman"/>
          <w:b/>
          <w:sz w:val="24"/>
          <w:szCs w:val="24"/>
        </w:rPr>
        <w:t xml:space="preserve">OVEĆANJE BROJA GOSTUJUĆIH PROFESORA I INOZEMNIH NASTAVNIKA KOJI DOLAZE ODRŽATI PREDAVANJE </w:t>
      </w:r>
      <w:r w:rsidR="005C487B" w:rsidRPr="00D42118">
        <w:rPr>
          <w:rFonts w:ascii="Times New Roman" w:hAnsi="Times New Roman"/>
          <w:b/>
          <w:sz w:val="24"/>
          <w:szCs w:val="24"/>
        </w:rPr>
        <w:t>STUDENTIMA</w:t>
      </w:r>
    </w:p>
    <w:p w:rsidR="000516E8" w:rsidRPr="00D42118" w:rsidRDefault="000516E8" w:rsidP="000516E8">
      <w:pPr>
        <w:jc w:val="both"/>
        <w:rPr>
          <w:rFonts w:ascii="Times New Roman" w:hAnsi="Times New Roman"/>
          <w:b/>
          <w:bCs/>
          <w:sz w:val="24"/>
          <w:szCs w:val="24"/>
        </w:rPr>
      </w:pPr>
      <w:r w:rsidRPr="00D42118">
        <w:rPr>
          <w:rFonts w:ascii="Times New Roman" w:hAnsi="Times New Roman"/>
          <w:b/>
          <w:bCs/>
          <w:sz w:val="24"/>
          <w:szCs w:val="24"/>
        </w:rPr>
        <w:t>OBRAZLOŽENJE CILJA</w:t>
      </w:r>
    </w:p>
    <w:p w:rsidR="00DE4AE3" w:rsidRPr="00D42118" w:rsidRDefault="00DE4AE3" w:rsidP="000516E8">
      <w:pPr>
        <w:jc w:val="both"/>
        <w:rPr>
          <w:rFonts w:ascii="Times New Roman" w:hAnsi="Times New Roman"/>
          <w:sz w:val="24"/>
          <w:szCs w:val="24"/>
        </w:rPr>
      </w:pPr>
    </w:p>
    <w:tbl>
      <w:tblPr>
        <w:tblW w:w="5003" w:type="pct"/>
        <w:jc w:val="center"/>
        <w:tblLayout w:type="fixed"/>
        <w:tblLook w:val="00A0" w:firstRow="1" w:lastRow="0" w:firstColumn="1" w:lastColumn="0" w:noHBand="0" w:noVBand="0"/>
      </w:tblPr>
      <w:tblGrid>
        <w:gridCol w:w="1438"/>
        <w:gridCol w:w="1251"/>
        <w:gridCol w:w="1161"/>
        <w:gridCol w:w="965"/>
        <w:gridCol w:w="1528"/>
        <w:gridCol w:w="1027"/>
        <w:gridCol w:w="1133"/>
        <w:gridCol w:w="1131"/>
      </w:tblGrid>
      <w:tr w:rsidR="00D42118" w:rsidRPr="00D42118" w:rsidTr="0063287F">
        <w:trPr>
          <w:trHeight w:val="675"/>
          <w:jc w:val="center"/>
        </w:trPr>
        <w:tc>
          <w:tcPr>
            <w:tcW w:w="74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Pokazatelj rezultata</w:t>
            </w:r>
          </w:p>
        </w:tc>
        <w:tc>
          <w:tcPr>
            <w:tcW w:w="649"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Definicija</w:t>
            </w:r>
          </w:p>
        </w:tc>
        <w:tc>
          <w:tcPr>
            <w:tcW w:w="602"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Jedinica</w:t>
            </w:r>
          </w:p>
        </w:tc>
        <w:tc>
          <w:tcPr>
            <w:tcW w:w="501"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Polazna vrijednost</w:t>
            </w:r>
          </w:p>
        </w:tc>
        <w:tc>
          <w:tcPr>
            <w:tcW w:w="793"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0516E8" w:rsidP="00911318">
            <w:pPr>
              <w:jc w:val="center"/>
              <w:rPr>
                <w:rFonts w:ascii="Times New Roman" w:hAnsi="Times New Roman"/>
                <w:b/>
                <w:bCs/>
                <w:sz w:val="18"/>
                <w:szCs w:val="18"/>
              </w:rPr>
            </w:pPr>
            <w:r w:rsidRPr="00D42118">
              <w:rPr>
                <w:rFonts w:ascii="Times New Roman" w:hAnsi="Times New Roman"/>
                <w:b/>
                <w:bCs/>
                <w:sz w:val="18"/>
                <w:szCs w:val="18"/>
              </w:rPr>
              <w:t>Izvor podataka</w:t>
            </w:r>
          </w:p>
        </w:tc>
        <w:tc>
          <w:tcPr>
            <w:tcW w:w="533"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EA1D34" w:rsidP="00911318">
            <w:pPr>
              <w:jc w:val="center"/>
              <w:rPr>
                <w:rFonts w:ascii="Times New Roman" w:hAnsi="Times New Roman"/>
                <w:b/>
                <w:bCs/>
                <w:sz w:val="18"/>
                <w:szCs w:val="18"/>
              </w:rPr>
            </w:pPr>
            <w:r w:rsidRPr="00D42118">
              <w:rPr>
                <w:rFonts w:ascii="Times New Roman" w:hAnsi="Times New Roman"/>
                <w:b/>
                <w:bCs/>
                <w:sz w:val="18"/>
                <w:szCs w:val="18"/>
              </w:rPr>
              <w:t>Planirana</w:t>
            </w:r>
            <w:r w:rsidR="001E6487">
              <w:rPr>
                <w:rFonts w:ascii="Times New Roman" w:hAnsi="Times New Roman"/>
                <w:b/>
                <w:bCs/>
                <w:sz w:val="18"/>
                <w:szCs w:val="18"/>
              </w:rPr>
              <w:t xml:space="preserve"> vrijednost 2025</w:t>
            </w:r>
            <w:r w:rsidR="000516E8" w:rsidRPr="00D42118">
              <w:rPr>
                <w:rFonts w:ascii="Times New Roman" w:hAnsi="Times New Roman"/>
                <w:b/>
                <w:bCs/>
                <w:sz w:val="18"/>
                <w:szCs w:val="18"/>
              </w:rPr>
              <w:t>.</w:t>
            </w:r>
          </w:p>
        </w:tc>
        <w:tc>
          <w:tcPr>
            <w:tcW w:w="588"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1E6487" w:rsidP="00911318">
            <w:pPr>
              <w:jc w:val="center"/>
              <w:rPr>
                <w:rFonts w:ascii="Times New Roman" w:hAnsi="Times New Roman"/>
                <w:b/>
                <w:bCs/>
                <w:sz w:val="18"/>
                <w:szCs w:val="18"/>
              </w:rPr>
            </w:pPr>
            <w:r>
              <w:rPr>
                <w:rFonts w:ascii="Times New Roman" w:hAnsi="Times New Roman"/>
                <w:b/>
                <w:bCs/>
                <w:sz w:val="18"/>
                <w:szCs w:val="18"/>
              </w:rPr>
              <w:t>Ostvarena vrijednost 2025</w:t>
            </w:r>
            <w:r w:rsidR="000516E8" w:rsidRPr="00D42118">
              <w:rPr>
                <w:rFonts w:ascii="Times New Roman" w:hAnsi="Times New Roman"/>
                <w:b/>
                <w:bCs/>
                <w:sz w:val="18"/>
                <w:szCs w:val="18"/>
              </w:rPr>
              <w:t>.</w:t>
            </w:r>
          </w:p>
        </w:tc>
        <w:tc>
          <w:tcPr>
            <w:tcW w:w="587" w:type="pct"/>
            <w:tcBorders>
              <w:top w:val="single" w:sz="4" w:space="0" w:color="auto"/>
              <w:left w:val="nil"/>
              <w:bottom w:val="single" w:sz="4" w:space="0" w:color="auto"/>
              <w:right w:val="single" w:sz="4" w:space="0" w:color="auto"/>
            </w:tcBorders>
            <w:shd w:val="clear" w:color="auto" w:fill="D9D9D9"/>
            <w:vAlign w:val="center"/>
          </w:tcPr>
          <w:p w:rsidR="000516E8" w:rsidRPr="00D42118" w:rsidRDefault="00EA1D34" w:rsidP="00911318">
            <w:pPr>
              <w:jc w:val="center"/>
              <w:rPr>
                <w:rFonts w:ascii="Times New Roman" w:hAnsi="Times New Roman"/>
                <w:b/>
                <w:bCs/>
                <w:sz w:val="18"/>
                <w:szCs w:val="18"/>
              </w:rPr>
            </w:pPr>
            <w:r w:rsidRPr="00D42118">
              <w:rPr>
                <w:rFonts w:ascii="Times New Roman" w:hAnsi="Times New Roman"/>
                <w:b/>
                <w:bCs/>
                <w:sz w:val="18"/>
                <w:szCs w:val="18"/>
              </w:rPr>
              <w:t>Indeks</w:t>
            </w:r>
          </w:p>
        </w:tc>
      </w:tr>
      <w:tr w:rsidR="000516E8" w:rsidRPr="00D42118" w:rsidTr="0063287F">
        <w:trPr>
          <w:trHeight w:val="495"/>
          <w:jc w:val="center"/>
        </w:trPr>
        <w:tc>
          <w:tcPr>
            <w:tcW w:w="746" w:type="pct"/>
            <w:tcBorders>
              <w:top w:val="nil"/>
              <w:left w:val="single" w:sz="4" w:space="0" w:color="auto"/>
              <w:bottom w:val="single" w:sz="4" w:space="0" w:color="auto"/>
              <w:right w:val="single" w:sz="4" w:space="0" w:color="auto"/>
            </w:tcBorders>
            <w:vAlign w:val="center"/>
          </w:tcPr>
          <w:p w:rsidR="000516E8" w:rsidRPr="00D42118" w:rsidRDefault="000516E8" w:rsidP="00911318">
            <w:pPr>
              <w:jc w:val="center"/>
              <w:rPr>
                <w:rFonts w:ascii="Times New Roman" w:hAnsi="Times New Roman"/>
              </w:rPr>
            </w:pPr>
            <w:r w:rsidRPr="00D42118">
              <w:rPr>
                <w:rFonts w:ascii="Times New Roman" w:hAnsi="Times New Roman"/>
              </w:rPr>
              <w:t>Broj gostujućih profesora</w:t>
            </w:r>
          </w:p>
        </w:tc>
        <w:tc>
          <w:tcPr>
            <w:tcW w:w="649" w:type="pct"/>
            <w:tcBorders>
              <w:top w:val="nil"/>
              <w:left w:val="nil"/>
              <w:bottom w:val="single" w:sz="4" w:space="0" w:color="auto"/>
              <w:right w:val="single" w:sz="4" w:space="0" w:color="auto"/>
            </w:tcBorders>
            <w:noWrap/>
            <w:vAlign w:val="center"/>
          </w:tcPr>
          <w:p w:rsidR="000516E8" w:rsidRPr="00D42118" w:rsidRDefault="000516E8" w:rsidP="00911318">
            <w:pPr>
              <w:jc w:val="center"/>
              <w:rPr>
                <w:rFonts w:ascii="Times New Roman" w:hAnsi="Times New Roman"/>
              </w:rPr>
            </w:pPr>
            <w:r w:rsidRPr="00D42118">
              <w:rPr>
                <w:rFonts w:ascii="Times New Roman" w:hAnsi="Times New Roman"/>
              </w:rPr>
              <w:t>Angažirani</w:t>
            </w:r>
          </w:p>
          <w:p w:rsidR="000516E8" w:rsidRPr="00D42118" w:rsidRDefault="000516E8" w:rsidP="00911318">
            <w:pPr>
              <w:jc w:val="center"/>
              <w:rPr>
                <w:rFonts w:ascii="Times New Roman" w:hAnsi="Times New Roman"/>
              </w:rPr>
            </w:pPr>
            <w:r w:rsidRPr="00D42118">
              <w:rPr>
                <w:rFonts w:ascii="Times New Roman" w:hAnsi="Times New Roman"/>
              </w:rPr>
              <w:t>gostujući</w:t>
            </w:r>
          </w:p>
          <w:p w:rsidR="000516E8" w:rsidRPr="00D42118" w:rsidRDefault="000516E8" w:rsidP="00911318">
            <w:pPr>
              <w:jc w:val="center"/>
              <w:rPr>
                <w:rFonts w:ascii="Times New Roman" w:hAnsi="Times New Roman"/>
              </w:rPr>
            </w:pPr>
            <w:r w:rsidRPr="00D42118">
              <w:rPr>
                <w:rFonts w:ascii="Times New Roman" w:hAnsi="Times New Roman"/>
              </w:rPr>
              <w:t>profesori</w:t>
            </w:r>
          </w:p>
          <w:p w:rsidR="000516E8" w:rsidRPr="00D42118" w:rsidRDefault="000516E8" w:rsidP="00911318">
            <w:pPr>
              <w:jc w:val="center"/>
              <w:rPr>
                <w:rFonts w:ascii="Times New Roman" w:hAnsi="Times New Roman"/>
              </w:rPr>
            </w:pPr>
            <w:r w:rsidRPr="00D42118">
              <w:rPr>
                <w:rFonts w:ascii="Times New Roman" w:hAnsi="Times New Roman"/>
              </w:rPr>
              <w:t>(dvogodišnji mandat)</w:t>
            </w:r>
          </w:p>
        </w:tc>
        <w:tc>
          <w:tcPr>
            <w:tcW w:w="602" w:type="pct"/>
            <w:tcBorders>
              <w:top w:val="nil"/>
              <w:left w:val="nil"/>
              <w:bottom w:val="single" w:sz="4" w:space="0" w:color="auto"/>
              <w:right w:val="single" w:sz="4" w:space="0" w:color="auto"/>
            </w:tcBorders>
            <w:noWrap/>
            <w:vAlign w:val="center"/>
          </w:tcPr>
          <w:p w:rsidR="000516E8" w:rsidRPr="00D42118" w:rsidRDefault="000516E8" w:rsidP="00911318">
            <w:pPr>
              <w:jc w:val="center"/>
              <w:rPr>
                <w:rFonts w:ascii="Times New Roman" w:hAnsi="Times New Roman"/>
              </w:rPr>
            </w:pPr>
            <w:r w:rsidRPr="00D42118">
              <w:rPr>
                <w:rFonts w:ascii="Times New Roman" w:hAnsi="Times New Roman"/>
              </w:rPr>
              <w:t>Broj</w:t>
            </w:r>
          </w:p>
          <w:p w:rsidR="000516E8" w:rsidRPr="00D42118" w:rsidRDefault="000516E8" w:rsidP="00911318">
            <w:pPr>
              <w:jc w:val="center"/>
              <w:rPr>
                <w:rFonts w:ascii="Times New Roman" w:hAnsi="Times New Roman"/>
              </w:rPr>
            </w:pPr>
            <w:r w:rsidRPr="00D42118">
              <w:rPr>
                <w:rFonts w:ascii="Times New Roman" w:hAnsi="Times New Roman"/>
              </w:rPr>
              <w:t>profesora</w:t>
            </w:r>
          </w:p>
        </w:tc>
        <w:tc>
          <w:tcPr>
            <w:tcW w:w="501" w:type="pct"/>
            <w:tcBorders>
              <w:top w:val="nil"/>
              <w:left w:val="nil"/>
              <w:bottom w:val="single" w:sz="4" w:space="0" w:color="auto"/>
              <w:right w:val="single" w:sz="4" w:space="0" w:color="auto"/>
            </w:tcBorders>
            <w:noWrap/>
            <w:vAlign w:val="center"/>
          </w:tcPr>
          <w:p w:rsidR="000516E8" w:rsidRPr="00D42118" w:rsidRDefault="003F137D" w:rsidP="00911318">
            <w:pPr>
              <w:jc w:val="center"/>
              <w:rPr>
                <w:rFonts w:ascii="Times New Roman" w:hAnsi="Times New Roman"/>
              </w:rPr>
            </w:pPr>
            <w:r>
              <w:rPr>
                <w:rFonts w:ascii="Times New Roman" w:hAnsi="Times New Roman"/>
              </w:rPr>
              <w:t>4</w:t>
            </w:r>
          </w:p>
        </w:tc>
        <w:tc>
          <w:tcPr>
            <w:tcW w:w="793" w:type="pct"/>
            <w:tcBorders>
              <w:top w:val="nil"/>
              <w:left w:val="nil"/>
              <w:bottom w:val="single" w:sz="4" w:space="0" w:color="auto"/>
              <w:right w:val="single" w:sz="4" w:space="0" w:color="auto"/>
            </w:tcBorders>
            <w:noWrap/>
            <w:vAlign w:val="center"/>
          </w:tcPr>
          <w:p w:rsidR="000516E8" w:rsidRPr="00D42118" w:rsidRDefault="000516E8" w:rsidP="00911318">
            <w:pPr>
              <w:jc w:val="center"/>
              <w:rPr>
                <w:rFonts w:ascii="Times New Roman" w:hAnsi="Times New Roman"/>
              </w:rPr>
            </w:pPr>
            <w:r w:rsidRPr="00D42118">
              <w:rPr>
                <w:rFonts w:ascii="Times New Roman" w:hAnsi="Times New Roman"/>
              </w:rPr>
              <w:t>Uprava fakulteta</w:t>
            </w:r>
          </w:p>
          <w:p w:rsidR="000516E8" w:rsidRPr="00D42118" w:rsidRDefault="000516E8" w:rsidP="00911318">
            <w:pPr>
              <w:jc w:val="center"/>
              <w:rPr>
                <w:rFonts w:ascii="Times New Roman" w:hAnsi="Times New Roman"/>
              </w:rPr>
            </w:pPr>
            <w:r w:rsidRPr="00D42118">
              <w:rPr>
                <w:rFonts w:ascii="Times New Roman" w:hAnsi="Times New Roman"/>
              </w:rPr>
              <w:t>Služba za</w:t>
            </w:r>
          </w:p>
          <w:p w:rsidR="000516E8" w:rsidRPr="00D42118" w:rsidRDefault="000516E8" w:rsidP="00911318">
            <w:pPr>
              <w:jc w:val="center"/>
              <w:rPr>
                <w:rFonts w:ascii="Times New Roman" w:hAnsi="Times New Roman"/>
              </w:rPr>
            </w:pPr>
            <w:r w:rsidRPr="00D42118">
              <w:rPr>
                <w:rFonts w:ascii="Times New Roman" w:hAnsi="Times New Roman"/>
              </w:rPr>
              <w:t>Međunarodn</w:t>
            </w:r>
            <w:r w:rsidR="00146728" w:rsidRPr="00D42118">
              <w:rPr>
                <w:rFonts w:ascii="Times New Roman" w:hAnsi="Times New Roman"/>
              </w:rPr>
              <w:t>u</w:t>
            </w:r>
          </w:p>
          <w:p w:rsidR="000516E8" w:rsidRPr="00D42118" w:rsidRDefault="000516E8" w:rsidP="00911318">
            <w:pPr>
              <w:jc w:val="center"/>
              <w:rPr>
                <w:rFonts w:ascii="Times New Roman" w:hAnsi="Times New Roman"/>
              </w:rPr>
            </w:pPr>
            <w:r w:rsidRPr="00D42118">
              <w:rPr>
                <w:rFonts w:ascii="Times New Roman" w:hAnsi="Times New Roman"/>
              </w:rPr>
              <w:t>suradnju</w:t>
            </w:r>
          </w:p>
        </w:tc>
        <w:tc>
          <w:tcPr>
            <w:tcW w:w="533" w:type="pct"/>
            <w:tcBorders>
              <w:top w:val="nil"/>
              <w:left w:val="nil"/>
              <w:bottom w:val="single" w:sz="4" w:space="0" w:color="auto"/>
              <w:right w:val="single" w:sz="4" w:space="0" w:color="auto"/>
            </w:tcBorders>
            <w:noWrap/>
            <w:vAlign w:val="center"/>
          </w:tcPr>
          <w:p w:rsidR="000516E8" w:rsidRPr="00D42118" w:rsidRDefault="003F137D" w:rsidP="00911318">
            <w:pPr>
              <w:jc w:val="center"/>
              <w:rPr>
                <w:rFonts w:ascii="Times New Roman" w:hAnsi="Times New Roman"/>
              </w:rPr>
            </w:pPr>
            <w:r>
              <w:rPr>
                <w:rFonts w:ascii="Times New Roman" w:hAnsi="Times New Roman"/>
              </w:rPr>
              <w:t>5</w:t>
            </w:r>
          </w:p>
        </w:tc>
        <w:tc>
          <w:tcPr>
            <w:tcW w:w="588" w:type="pct"/>
            <w:tcBorders>
              <w:top w:val="nil"/>
              <w:left w:val="nil"/>
              <w:bottom w:val="single" w:sz="4" w:space="0" w:color="auto"/>
              <w:right w:val="single" w:sz="4" w:space="0" w:color="auto"/>
            </w:tcBorders>
            <w:noWrap/>
            <w:vAlign w:val="center"/>
          </w:tcPr>
          <w:p w:rsidR="000516E8" w:rsidRPr="00D42118" w:rsidRDefault="002A2032" w:rsidP="00911318">
            <w:pPr>
              <w:jc w:val="center"/>
              <w:rPr>
                <w:rFonts w:ascii="Times New Roman" w:hAnsi="Times New Roman"/>
              </w:rPr>
            </w:pPr>
            <w:r>
              <w:rPr>
                <w:rFonts w:ascii="Times New Roman" w:hAnsi="Times New Roman"/>
              </w:rPr>
              <w:t>6</w:t>
            </w:r>
          </w:p>
        </w:tc>
        <w:tc>
          <w:tcPr>
            <w:tcW w:w="587" w:type="pct"/>
            <w:tcBorders>
              <w:top w:val="nil"/>
              <w:left w:val="nil"/>
              <w:bottom w:val="single" w:sz="4" w:space="0" w:color="auto"/>
              <w:right w:val="single" w:sz="4" w:space="0" w:color="auto"/>
            </w:tcBorders>
            <w:noWrap/>
            <w:vAlign w:val="center"/>
          </w:tcPr>
          <w:p w:rsidR="000516E8" w:rsidRPr="00D42118" w:rsidRDefault="00D02E80" w:rsidP="00911318">
            <w:pPr>
              <w:jc w:val="center"/>
              <w:rPr>
                <w:rFonts w:ascii="Times New Roman" w:hAnsi="Times New Roman"/>
              </w:rPr>
            </w:pPr>
            <w:r>
              <w:rPr>
                <w:rFonts w:ascii="Times New Roman" w:hAnsi="Times New Roman"/>
              </w:rPr>
              <w:t>120,00</w:t>
            </w:r>
          </w:p>
        </w:tc>
      </w:tr>
    </w:tbl>
    <w:p w:rsidR="00EA1D34" w:rsidRPr="00D42118" w:rsidRDefault="00EA1D34" w:rsidP="00EA1D34">
      <w:pPr>
        <w:spacing w:line="276" w:lineRule="auto"/>
        <w:jc w:val="both"/>
        <w:rPr>
          <w:rFonts w:ascii="Times New Roman" w:hAnsi="Times New Roman"/>
          <w:b/>
          <w:bCs/>
          <w:sz w:val="24"/>
          <w:szCs w:val="24"/>
        </w:rPr>
      </w:pPr>
    </w:p>
    <w:p w:rsidR="00D42118" w:rsidRDefault="00EA1D34" w:rsidP="00D42118">
      <w:pPr>
        <w:spacing w:line="276" w:lineRule="auto"/>
        <w:jc w:val="both"/>
        <w:rPr>
          <w:rFonts w:ascii="Times New Roman" w:hAnsi="Times New Roman"/>
          <w:sz w:val="24"/>
          <w:szCs w:val="24"/>
        </w:rPr>
      </w:pPr>
      <w:r w:rsidRPr="00D42118">
        <w:rPr>
          <w:rFonts w:ascii="Times New Roman" w:eastAsia="Calibri" w:hAnsi="Times New Roman"/>
          <w:b/>
          <w:sz w:val="24"/>
          <w:szCs w:val="24"/>
        </w:rPr>
        <w:t xml:space="preserve">Povećanje broja gostujućih profesora i inozemnih nastavnika koji dolaze održati predavanje na Stomatološkom fakultetu Sveučilišta u </w:t>
      </w:r>
      <w:r w:rsidR="00D42118" w:rsidRPr="00D42118">
        <w:rPr>
          <w:rFonts w:ascii="Times New Roman" w:hAnsi="Times New Roman"/>
          <w:b/>
          <w:sz w:val="24"/>
          <w:szCs w:val="24"/>
        </w:rPr>
        <w:t>Zagrebu</w:t>
      </w:r>
      <w:r w:rsidR="00D42118" w:rsidRPr="00D42118">
        <w:rPr>
          <w:rFonts w:ascii="Times New Roman" w:hAnsi="Times New Roman"/>
          <w:sz w:val="24"/>
          <w:szCs w:val="24"/>
        </w:rPr>
        <w:t xml:space="preserve"> - trenutačno </w:t>
      </w:r>
      <w:r w:rsidR="00D42118" w:rsidRPr="008F75FC">
        <w:rPr>
          <w:rFonts w:ascii="Times New Roman" w:hAnsi="Times New Roman"/>
          <w:sz w:val="24"/>
          <w:szCs w:val="24"/>
        </w:rPr>
        <w:t xml:space="preserve">imamo </w:t>
      </w:r>
      <w:r w:rsidR="002A2032">
        <w:rPr>
          <w:rFonts w:ascii="Times New Roman" w:hAnsi="Times New Roman"/>
          <w:sz w:val="24"/>
          <w:szCs w:val="24"/>
        </w:rPr>
        <w:t>porast</w:t>
      </w:r>
      <w:r w:rsidR="00D42118" w:rsidRPr="008F75FC">
        <w:rPr>
          <w:rFonts w:ascii="Times New Roman" w:hAnsi="Times New Roman"/>
          <w:sz w:val="24"/>
          <w:szCs w:val="24"/>
        </w:rPr>
        <w:t xml:space="preserve"> u broju gostujućih profesora na našem Fakultetu</w:t>
      </w:r>
      <w:r w:rsidR="002A2032">
        <w:rPr>
          <w:rFonts w:ascii="Times New Roman" w:hAnsi="Times New Roman"/>
          <w:sz w:val="24"/>
          <w:szCs w:val="24"/>
        </w:rPr>
        <w:t xml:space="preserve">, njih </w:t>
      </w:r>
      <w:r w:rsidR="002A2032" w:rsidRPr="002A2032">
        <w:rPr>
          <w:rFonts w:ascii="Times New Roman" w:hAnsi="Times New Roman"/>
          <w:sz w:val="24"/>
          <w:szCs w:val="24"/>
        </w:rPr>
        <w:t>šest</w:t>
      </w:r>
      <w:r w:rsidR="00D42118" w:rsidRPr="002A2032">
        <w:rPr>
          <w:rFonts w:ascii="Times New Roman" w:hAnsi="Times New Roman"/>
          <w:sz w:val="24"/>
          <w:szCs w:val="24"/>
        </w:rPr>
        <w:t xml:space="preserve">, </w:t>
      </w:r>
      <w:r w:rsidR="00D42118" w:rsidRPr="008F75FC">
        <w:rPr>
          <w:rFonts w:ascii="Times New Roman" w:hAnsi="Times New Roman"/>
          <w:sz w:val="24"/>
          <w:szCs w:val="24"/>
        </w:rPr>
        <w:t xml:space="preserve">a cilj nam je imati na svakom </w:t>
      </w:r>
      <w:r w:rsidR="00D42118">
        <w:rPr>
          <w:rFonts w:ascii="Times New Roman" w:hAnsi="Times New Roman"/>
          <w:sz w:val="24"/>
          <w:szCs w:val="24"/>
        </w:rPr>
        <w:t>z</w:t>
      </w:r>
      <w:r w:rsidR="00D42118" w:rsidRPr="008F75FC">
        <w:rPr>
          <w:rFonts w:ascii="Times New Roman" w:hAnsi="Times New Roman"/>
          <w:sz w:val="24"/>
          <w:szCs w:val="24"/>
        </w:rPr>
        <w:t xml:space="preserve">avodu barem dva. Valja naglasiti kako su u nastavi na našem Fakultetu, gosti profesori posebno </w:t>
      </w:r>
      <w:r w:rsidR="009C2043">
        <w:rPr>
          <w:rFonts w:ascii="Times New Roman" w:hAnsi="Times New Roman"/>
          <w:sz w:val="24"/>
          <w:szCs w:val="24"/>
        </w:rPr>
        <w:t>važni</w:t>
      </w:r>
      <w:r w:rsidR="00D42118" w:rsidRPr="008F75FC">
        <w:rPr>
          <w:rFonts w:ascii="Times New Roman" w:hAnsi="Times New Roman"/>
          <w:sz w:val="24"/>
          <w:szCs w:val="24"/>
        </w:rPr>
        <w:t xml:space="preserve"> </w:t>
      </w:r>
      <w:r w:rsidR="00D42118">
        <w:rPr>
          <w:rFonts w:ascii="Times New Roman" w:hAnsi="Times New Roman"/>
          <w:sz w:val="24"/>
          <w:szCs w:val="24"/>
        </w:rPr>
        <w:t xml:space="preserve">i </w:t>
      </w:r>
      <w:r w:rsidR="00D42118" w:rsidRPr="008F75FC">
        <w:rPr>
          <w:rFonts w:ascii="Times New Roman" w:hAnsi="Times New Roman"/>
          <w:sz w:val="24"/>
          <w:szCs w:val="24"/>
        </w:rPr>
        <w:t xml:space="preserve">za praktične oblike nastave kako bi studentima pokazali </w:t>
      </w:r>
      <w:r w:rsidR="00D42118" w:rsidRPr="00206ABA">
        <w:rPr>
          <w:rFonts w:ascii="Times New Roman" w:hAnsi="Times New Roman"/>
          <w:sz w:val="24"/>
          <w:szCs w:val="24"/>
        </w:rPr>
        <w:t xml:space="preserve">i prikazali nova dostignuća u njihovom području struke, a koji se izvode s učešćem pacijenata. </w:t>
      </w:r>
    </w:p>
    <w:p w:rsidR="007471C0" w:rsidRDefault="007471C0" w:rsidP="00D42118">
      <w:pPr>
        <w:spacing w:line="276" w:lineRule="auto"/>
        <w:jc w:val="both"/>
        <w:rPr>
          <w:rFonts w:ascii="Times New Roman" w:hAnsi="Times New Roman"/>
          <w:sz w:val="24"/>
          <w:szCs w:val="24"/>
        </w:rPr>
      </w:pPr>
    </w:p>
    <w:p w:rsidR="00D02E80" w:rsidRPr="00206ABA" w:rsidRDefault="00D02E80" w:rsidP="00D42118">
      <w:pPr>
        <w:spacing w:line="276" w:lineRule="auto"/>
        <w:jc w:val="both"/>
        <w:rPr>
          <w:rFonts w:ascii="Times New Roman" w:hAnsi="Times New Roman"/>
          <w:sz w:val="24"/>
          <w:szCs w:val="24"/>
        </w:rPr>
      </w:pPr>
    </w:p>
    <w:p w:rsidR="000C38BB" w:rsidRPr="00D42118" w:rsidRDefault="000C38BB" w:rsidP="000C38BB">
      <w:pPr>
        <w:jc w:val="both"/>
        <w:rPr>
          <w:rFonts w:ascii="Times New Roman" w:hAnsi="Times New Roman"/>
          <w:sz w:val="24"/>
          <w:szCs w:val="24"/>
        </w:rPr>
      </w:pPr>
    </w:p>
    <w:p w:rsidR="000C38BB" w:rsidRPr="006679D4" w:rsidRDefault="0067714F" w:rsidP="000C38BB">
      <w:pPr>
        <w:jc w:val="both"/>
        <w:rPr>
          <w:rFonts w:ascii="Times New Roman" w:hAnsi="Times New Roman"/>
          <w:sz w:val="24"/>
          <w:szCs w:val="24"/>
        </w:rPr>
      </w:pPr>
      <w:r w:rsidRPr="006679D4">
        <w:rPr>
          <w:rFonts w:ascii="Times New Roman" w:hAnsi="Times New Roman"/>
          <w:bCs/>
          <w:sz w:val="24"/>
          <w:szCs w:val="24"/>
        </w:rPr>
        <w:t xml:space="preserve">Zagreb, </w:t>
      </w:r>
      <w:r w:rsidR="001E6487">
        <w:rPr>
          <w:rFonts w:ascii="Times New Roman" w:hAnsi="Times New Roman"/>
          <w:bCs/>
          <w:sz w:val="24"/>
          <w:szCs w:val="24"/>
        </w:rPr>
        <w:t>26. ožujka, 2026</w:t>
      </w:r>
      <w:r w:rsidR="000C38BB" w:rsidRPr="006679D4">
        <w:rPr>
          <w:rFonts w:ascii="Times New Roman" w:hAnsi="Times New Roman"/>
          <w:bCs/>
          <w:sz w:val="24"/>
          <w:szCs w:val="24"/>
        </w:rPr>
        <w:t>.</w:t>
      </w:r>
    </w:p>
    <w:p w:rsidR="000C38BB" w:rsidRPr="006679D4" w:rsidRDefault="000C38BB" w:rsidP="000C38BB">
      <w:pPr>
        <w:jc w:val="both"/>
        <w:rPr>
          <w:rFonts w:ascii="Times New Roman" w:hAnsi="Times New Roman"/>
          <w:sz w:val="24"/>
          <w:szCs w:val="24"/>
        </w:rPr>
      </w:pPr>
    </w:p>
    <w:p w:rsidR="000C38BB" w:rsidRPr="006679D4" w:rsidRDefault="000C38BB" w:rsidP="000C38BB">
      <w:pPr>
        <w:rPr>
          <w:rFonts w:ascii="Times New Roman" w:hAnsi="Times New Roman"/>
          <w:sz w:val="24"/>
          <w:szCs w:val="24"/>
        </w:rPr>
      </w:pPr>
      <w:r w:rsidRPr="006679D4">
        <w:rPr>
          <w:rFonts w:ascii="Times New Roman" w:hAnsi="Times New Roman"/>
          <w:sz w:val="24"/>
          <w:szCs w:val="24"/>
        </w:rPr>
        <w:t xml:space="preserve">                                                                                                                   Dekan:</w:t>
      </w:r>
    </w:p>
    <w:p w:rsidR="000C38BB" w:rsidRPr="006679D4" w:rsidRDefault="000C38BB" w:rsidP="000C38BB">
      <w:pPr>
        <w:rPr>
          <w:rFonts w:ascii="Times New Roman" w:hAnsi="Times New Roman"/>
          <w:sz w:val="24"/>
          <w:szCs w:val="24"/>
        </w:rPr>
      </w:pPr>
    </w:p>
    <w:p w:rsidR="000C38BB" w:rsidRPr="006679D4" w:rsidRDefault="000C38BB" w:rsidP="000C38BB">
      <w:pPr>
        <w:rPr>
          <w:rFonts w:ascii="Times New Roman" w:hAnsi="Times New Roman"/>
          <w:sz w:val="24"/>
          <w:szCs w:val="24"/>
        </w:rPr>
      </w:pPr>
      <w:r w:rsidRPr="006679D4">
        <w:rPr>
          <w:rFonts w:ascii="Times New Roman" w:hAnsi="Times New Roman"/>
          <w:sz w:val="24"/>
          <w:szCs w:val="24"/>
        </w:rPr>
        <w:t xml:space="preserve">                                                                                               _______________________</w:t>
      </w:r>
      <w:r w:rsidR="005E7F95">
        <w:rPr>
          <w:rFonts w:ascii="Times New Roman" w:hAnsi="Times New Roman"/>
          <w:sz w:val="24"/>
          <w:szCs w:val="24"/>
        </w:rPr>
        <w:t>_____</w:t>
      </w:r>
    </w:p>
    <w:p w:rsidR="00B55A24" w:rsidRPr="006679D4" w:rsidRDefault="000C38BB" w:rsidP="000C38BB">
      <w:pPr>
        <w:spacing w:before="120"/>
        <w:rPr>
          <w:rFonts w:ascii="Times New Roman" w:hAnsi="Times New Roman"/>
          <w:sz w:val="24"/>
          <w:szCs w:val="24"/>
        </w:rPr>
      </w:pPr>
      <w:r w:rsidRPr="006679D4">
        <w:rPr>
          <w:rFonts w:ascii="Times New Roman" w:hAnsi="Times New Roman"/>
          <w:sz w:val="24"/>
          <w:szCs w:val="24"/>
        </w:rPr>
        <w:t xml:space="preserve">                                                                                              </w:t>
      </w:r>
      <w:r w:rsidR="00BB7B3A" w:rsidRPr="006679D4">
        <w:rPr>
          <w:rFonts w:ascii="Times New Roman" w:hAnsi="Times New Roman"/>
          <w:sz w:val="24"/>
          <w:szCs w:val="24"/>
        </w:rPr>
        <w:t xml:space="preserve">    Prof.dr.sc. </w:t>
      </w:r>
      <w:r w:rsidR="00FB7483" w:rsidRPr="006679D4">
        <w:rPr>
          <w:rFonts w:ascii="Times New Roman" w:hAnsi="Times New Roman"/>
          <w:sz w:val="24"/>
          <w:szCs w:val="24"/>
        </w:rPr>
        <w:t xml:space="preserve">Marin </w:t>
      </w:r>
      <w:proofErr w:type="spellStart"/>
      <w:r w:rsidR="00FB7483" w:rsidRPr="006679D4">
        <w:rPr>
          <w:rFonts w:ascii="Times New Roman" w:hAnsi="Times New Roman"/>
          <w:sz w:val="24"/>
          <w:szCs w:val="24"/>
        </w:rPr>
        <w:t>Vodanović</w:t>
      </w:r>
      <w:proofErr w:type="spellEnd"/>
    </w:p>
    <w:sectPr w:rsidR="00B55A24" w:rsidRPr="006679D4" w:rsidSect="00E93F46">
      <w:footerReference w:type="default" r:id="rId7"/>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D5C" w:rsidRDefault="00394D5C" w:rsidP="00364558">
      <w:r>
        <w:separator/>
      </w:r>
    </w:p>
  </w:endnote>
  <w:endnote w:type="continuationSeparator" w:id="0">
    <w:p w:rsidR="00394D5C" w:rsidRDefault="00394D5C"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80220"/>
      <w:docPartObj>
        <w:docPartGallery w:val="Page Numbers (Bottom of Page)"/>
        <w:docPartUnique/>
      </w:docPartObj>
    </w:sdtPr>
    <w:sdtEndPr/>
    <w:sdtContent>
      <w:p w:rsidR="00EB760B" w:rsidRDefault="00EB760B">
        <w:pPr>
          <w:pStyle w:val="Footer"/>
          <w:jc w:val="right"/>
        </w:pPr>
        <w:r>
          <w:fldChar w:fldCharType="begin"/>
        </w:r>
        <w:r>
          <w:instrText>PAGE   \* MERGEFORMAT</w:instrText>
        </w:r>
        <w:r>
          <w:fldChar w:fldCharType="separate"/>
        </w:r>
        <w:r w:rsidR="00EC4F92">
          <w:rPr>
            <w:noProof/>
          </w:rPr>
          <w:t>6</w:t>
        </w:r>
        <w:r>
          <w:rPr>
            <w:noProof/>
          </w:rPr>
          <w:fldChar w:fldCharType="end"/>
        </w:r>
      </w:p>
    </w:sdtContent>
  </w:sdt>
  <w:p w:rsidR="00EB760B" w:rsidRDefault="00EB76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D5C" w:rsidRDefault="00394D5C" w:rsidP="00364558">
      <w:r>
        <w:separator/>
      </w:r>
    </w:p>
  </w:footnote>
  <w:footnote w:type="continuationSeparator" w:id="0">
    <w:p w:rsidR="00394D5C" w:rsidRDefault="00394D5C" w:rsidP="00364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366"/>
    <w:multiLevelType w:val="hybridMultilevel"/>
    <w:tmpl w:val="08AE4A90"/>
    <w:lvl w:ilvl="0" w:tplc="8A567A7A">
      <w:start w:val="1"/>
      <w:numFmt w:val="bullet"/>
      <w:lvlText w:val="-"/>
      <w:lvlJc w:val="left"/>
      <w:pPr>
        <w:ind w:left="686" w:hanging="360"/>
      </w:pPr>
      <w:rPr>
        <w:rFonts w:ascii="Calibri" w:eastAsiaTheme="minorHAnsi" w:hAnsi="Calibri" w:cs="Calibri" w:hint="default"/>
      </w:rPr>
    </w:lvl>
    <w:lvl w:ilvl="1" w:tplc="041A0003" w:tentative="1">
      <w:start w:val="1"/>
      <w:numFmt w:val="bullet"/>
      <w:lvlText w:val="o"/>
      <w:lvlJc w:val="left"/>
      <w:pPr>
        <w:ind w:left="1406" w:hanging="360"/>
      </w:pPr>
      <w:rPr>
        <w:rFonts w:ascii="Courier New" w:hAnsi="Courier New" w:cs="Courier New" w:hint="default"/>
      </w:rPr>
    </w:lvl>
    <w:lvl w:ilvl="2" w:tplc="041A0005" w:tentative="1">
      <w:start w:val="1"/>
      <w:numFmt w:val="bullet"/>
      <w:lvlText w:val=""/>
      <w:lvlJc w:val="left"/>
      <w:pPr>
        <w:ind w:left="2126" w:hanging="360"/>
      </w:pPr>
      <w:rPr>
        <w:rFonts w:ascii="Wingdings" w:hAnsi="Wingdings" w:hint="default"/>
      </w:rPr>
    </w:lvl>
    <w:lvl w:ilvl="3" w:tplc="041A0001" w:tentative="1">
      <w:start w:val="1"/>
      <w:numFmt w:val="bullet"/>
      <w:lvlText w:val=""/>
      <w:lvlJc w:val="left"/>
      <w:pPr>
        <w:ind w:left="2846" w:hanging="360"/>
      </w:pPr>
      <w:rPr>
        <w:rFonts w:ascii="Symbol" w:hAnsi="Symbol" w:hint="default"/>
      </w:rPr>
    </w:lvl>
    <w:lvl w:ilvl="4" w:tplc="041A0003" w:tentative="1">
      <w:start w:val="1"/>
      <w:numFmt w:val="bullet"/>
      <w:lvlText w:val="o"/>
      <w:lvlJc w:val="left"/>
      <w:pPr>
        <w:ind w:left="3566" w:hanging="360"/>
      </w:pPr>
      <w:rPr>
        <w:rFonts w:ascii="Courier New" w:hAnsi="Courier New" w:cs="Courier New" w:hint="default"/>
      </w:rPr>
    </w:lvl>
    <w:lvl w:ilvl="5" w:tplc="041A0005" w:tentative="1">
      <w:start w:val="1"/>
      <w:numFmt w:val="bullet"/>
      <w:lvlText w:val=""/>
      <w:lvlJc w:val="left"/>
      <w:pPr>
        <w:ind w:left="4286" w:hanging="360"/>
      </w:pPr>
      <w:rPr>
        <w:rFonts w:ascii="Wingdings" w:hAnsi="Wingdings" w:hint="default"/>
      </w:rPr>
    </w:lvl>
    <w:lvl w:ilvl="6" w:tplc="041A0001" w:tentative="1">
      <w:start w:val="1"/>
      <w:numFmt w:val="bullet"/>
      <w:lvlText w:val=""/>
      <w:lvlJc w:val="left"/>
      <w:pPr>
        <w:ind w:left="5006" w:hanging="360"/>
      </w:pPr>
      <w:rPr>
        <w:rFonts w:ascii="Symbol" w:hAnsi="Symbol" w:hint="default"/>
      </w:rPr>
    </w:lvl>
    <w:lvl w:ilvl="7" w:tplc="041A0003" w:tentative="1">
      <w:start w:val="1"/>
      <w:numFmt w:val="bullet"/>
      <w:lvlText w:val="o"/>
      <w:lvlJc w:val="left"/>
      <w:pPr>
        <w:ind w:left="5726" w:hanging="360"/>
      </w:pPr>
      <w:rPr>
        <w:rFonts w:ascii="Courier New" w:hAnsi="Courier New" w:cs="Courier New" w:hint="default"/>
      </w:rPr>
    </w:lvl>
    <w:lvl w:ilvl="8" w:tplc="041A0005" w:tentative="1">
      <w:start w:val="1"/>
      <w:numFmt w:val="bullet"/>
      <w:lvlText w:val=""/>
      <w:lvlJc w:val="left"/>
      <w:pPr>
        <w:ind w:left="6446" w:hanging="360"/>
      </w:pPr>
      <w:rPr>
        <w:rFonts w:ascii="Wingdings" w:hAnsi="Wingdings" w:hint="default"/>
      </w:r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24"/>
    <w:rsid w:val="000005A0"/>
    <w:rsid w:val="00005D5A"/>
    <w:rsid w:val="00035AF3"/>
    <w:rsid w:val="000516E8"/>
    <w:rsid w:val="000575E5"/>
    <w:rsid w:val="00064B9C"/>
    <w:rsid w:val="00066734"/>
    <w:rsid w:val="000840B1"/>
    <w:rsid w:val="00095965"/>
    <w:rsid w:val="000A55BE"/>
    <w:rsid w:val="000B0038"/>
    <w:rsid w:val="000C38BB"/>
    <w:rsid w:val="000C774D"/>
    <w:rsid w:val="0011173A"/>
    <w:rsid w:val="00137892"/>
    <w:rsid w:val="00146728"/>
    <w:rsid w:val="00147B1C"/>
    <w:rsid w:val="001518B2"/>
    <w:rsid w:val="00154172"/>
    <w:rsid w:val="001555B0"/>
    <w:rsid w:val="00157EB7"/>
    <w:rsid w:val="00170030"/>
    <w:rsid w:val="001944B1"/>
    <w:rsid w:val="00197212"/>
    <w:rsid w:val="001B550E"/>
    <w:rsid w:val="001C1518"/>
    <w:rsid w:val="001C79E9"/>
    <w:rsid w:val="001D7106"/>
    <w:rsid w:val="001E21EE"/>
    <w:rsid w:val="001E6487"/>
    <w:rsid w:val="001F6568"/>
    <w:rsid w:val="0024348D"/>
    <w:rsid w:val="00257E9F"/>
    <w:rsid w:val="00271823"/>
    <w:rsid w:val="002A2032"/>
    <w:rsid w:val="002C669A"/>
    <w:rsid w:val="002E54CB"/>
    <w:rsid w:val="00302A1B"/>
    <w:rsid w:val="0030335B"/>
    <w:rsid w:val="003243E1"/>
    <w:rsid w:val="003370BF"/>
    <w:rsid w:val="00364558"/>
    <w:rsid w:val="00373E58"/>
    <w:rsid w:val="00392970"/>
    <w:rsid w:val="00394D5C"/>
    <w:rsid w:val="003A0C3C"/>
    <w:rsid w:val="003F137D"/>
    <w:rsid w:val="003F74FC"/>
    <w:rsid w:val="00413F79"/>
    <w:rsid w:val="0044380B"/>
    <w:rsid w:val="00457637"/>
    <w:rsid w:val="004913C9"/>
    <w:rsid w:val="0049396A"/>
    <w:rsid w:val="00496216"/>
    <w:rsid w:val="004A2EE6"/>
    <w:rsid w:val="004B2E37"/>
    <w:rsid w:val="004C4D50"/>
    <w:rsid w:val="004D5DC8"/>
    <w:rsid w:val="004F2530"/>
    <w:rsid w:val="0050322E"/>
    <w:rsid w:val="00510879"/>
    <w:rsid w:val="005209A5"/>
    <w:rsid w:val="005247BE"/>
    <w:rsid w:val="00542521"/>
    <w:rsid w:val="005C487B"/>
    <w:rsid w:val="005E6F50"/>
    <w:rsid w:val="005E7F95"/>
    <w:rsid w:val="006029D8"/>
    <w:rsid w:val="00607040"/>
    <w:rsid w:val="00610681"/>
    <w:rsid w:val="00626273"/>
    <w:rsid w:val="0063287F"/>
    <w:rsid w:val="00632C20"/>
    <w:rsid w:val="0063623B"/>
    <w:rsid w:val="00645696"/>
    <w:rsid w:val="006679D4"/>
    <w:rsid w:val="0067714F"/>
    <w:rsid w:val="00685A31"/>
    <w:rsid w:val="006A582F"/>
    <w:rsid w:val="006C69F5"/>
    <w:rsid w:val="006D72EE"/>
    <w:rsid w:val="006E1985"/>
    <w:rsid w:val="006F7F84"/>
    <w:rsid w:val="00721835"/>
    <w:rsid w:val="0073292B"/>
    <w:rsid w:val="007471C0"/>
    <w:rsid w:val="0075256F"/>
    <w:rsid w:val="00765944"/>
    <w:rsid w:val="0077317E"/>
    <w:rsid w:val="00790475"/>
    <w:rsid w:val="007A0684"/>
    <w:rsid w:val="007A41A7"/>
    <w:rsid w:val="007C60D4"/>
    <w:rsid w:val="007E2EE6"/>
    <w:rsid w:val="007E6EED"/>
    <w:rsid w:val="00802147"/>
    <w:rsid w:val="00811FDE"/>
    <w:rsid w:val="00813136"/>
    <w:rsid w:val="0082291F"/>
    <w:rsid w:val="00851D58"/>
    <w:rsid w:val="00861472"/>
    <w:rsid w:val="00883120"/>
    <w:rsid w:val="00886A78"/>
    <w:rsid w:val="008B1235"/>
    <w:rsid w:val="008B367A"/>
    <w:rsid w:val="008D0E39"/>
    <w:rsid w:val="008F4951"/>
    <w:rsid w:val="008F7C0B"/>
    <w:rsid w:val="00903642"/>
    <w:rsid w:val="00911318"/>
    <w:rsid w:val="009128E3"/>
    <w:rsid w:val="00981267"/>
    <w:rsid w:val="009A470E"/>
    <w:rsid w:val="009C2043"/>
    <w:rsid w:val="009C6795"/>
    <w:rsid w:val="00A43665"/>
    <w:rsid w:val="00A511FD"/>
    <w:rsid w:val="00A63AC2"/>
    <w:rsid w:val="00A71CAC"/>
    <w:rsid w:val="00A808B6"/>
    <w:rsid w:val="00A81F0E"/>
    <w:rsid w:val="00B16B32"/>
    <w:rsid w:val="00B55649"/>
    <w:rsid w:val="00B55A24"/>
    <w:rsid w:val="00B66A80"/>
    <w:rsid w:val="00B8022C"/>
    <w:rsid w:val="00B934FD"/>
    <w:rsid w:val="00B94EEE"/>
    <w:rsid w:val="00BB4DF5"/>
    <w:rsid w:val="00BB7B3A"/>
    <w:rsid w:val="00BC7BF5"/>
    <w:rsid w:val="00BD6ED3"/>
    <w:rsid w:val="00BE4595"/>
    <w:rsid w:val="00BE49F5"/>
    <w:rsid w:val="00BF4AEB"/>
    <w:rsid w:val="00C23345"/>
    <w:rsid w:val="00C312C7"/>
    <w:rsid w:val="00C55CF9"/>
    <w:rsid w:val="00C56DD1"/>
    <w:rsid w:val="00C86B82"/>
    <w:rsid w:val="00C978D1"/>
    <w:rsid w:val="00CA2F47"/>
    <w:rsid w:val="00CB04AF"/>
    <w:rsid w:val="00CB4EEF"/>
    <w:rsid w:val="00CB573F"/>
    <w:rsid w:val="00CC4D0C"/>
    <w:rsid w:val="00CE7265"/>
    <w:rsid w:val="00CF3E2E"/>
    <w:rsid w:val="00CF4B8E"/>
    <w:rsid w:val="00D02E80"/>
    <w:rsid w:val="00D1367F"/>
    <w:rsid w:val="00D3311E"/>
    <w:rsid w:val="00D332E1"/>
    <w:rsid w:val="00D42118"/>
    <w:rsid w:val="00D50A0E"/>
    <w:rsid w:val="00D54AD5"/>
    <w:rsid w:val="00D63715"/>
    <w:rsid w:val="00D75999"/>
    <w:rsid w:val="00D7679A"/>
    <w:rsid w:val="00D77CAA"/>
    <w:rsid w:val="00D8012F"/>
    <w:rsid w:val="00D82064"/>
    <w:rsid w:val="00D94672"/>
    <w:rsid w:val="00DA47FC"/>
    <w:rsid w:val="00DB4A75"/>
    <w:rsid w:val="00DD2BCE"/>
    <w:rsid w:val="00DE4AE3"/>
    <w:rsid w:val="00DF3E30"/>
    <w:rsid w:val="00E01A7B"/>
    <w:rsid w:val="00E30AD4"/>
    <w:rsid w:val="00E531F6"/>
    <w:rsid w:val="00E668EF"/>
    <w:rsid w:val="00E66CA6"/>
    <w:rsid w:val="00E8556C"/>
    <w:rsid w:val="00E93F46"/>
    <w:rsid w:val="00EA1D34"/>
    <w:rsid w:val="00EB760B"/>
    <w:rsid w:val="00EC4F92"/>
    <w:rsid w:val="00ED644B"/>
    <w:rsid w:val="00EF0FB2"/>
    <w:rsid w:val="00EF5493"/>
    <w:rsid w:val="00F17949"/>
    <w:rsid w:val="00F41CD6"/>
    <w:rsid w:val="00F50E74"/>
    <w:rsid w:val="00F66232"/>
    <w:rsid w:val="00F7123F"/>
    <w:rsid w:val="00FA3C48"/>
    <w:rsid w:val="00FA5EE9"/>
    <w:rsid w:val="00FB7483"/>
    <w:rsid w:val="00FB7E0F"/>
    <w:rsid w:val="00FC2833"/>
    <w:rsid w:val="00FC4DCB"/>
    <w:rsid w:val="00FD1A25"/>
    <w:rsid w:val="00FE752B"/>
    <w:rsid w:val="00FF1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638B72"/>
  <w15:docId w15:val="{55E4088B-AC92-49BC-9739-08AE92C4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rtificate"/>
    <w:qFormat/>
    <w:rsid w:val="00B55A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ListParagraph">
    <w:name w:val="List Paragraph"/>
    <w:basedOn w:val="Normal"/>
    <w:uiPriority w:val="34"/>
    <w:qFormat/>
    <w:rsid w:val="00A511FD"/>
    <w:pPr>
      <w:ind w:left="720"/>
      <w:contextualSpacing/>
    </w:pPr>
  </w:style>
  <w:style w:type="character" w:customStyle="1" w:styleId="apple-converted-space">
    <w:name w:val="apple-converted-space"/>
    <w:basedOn w:val="DefaultParagraphFont"/>
    <w:rsid w:val="006C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27">
      <w:bodyDiv w:val="1"/>
      <w:marLeft w:val="0"/>
      <w:marRight w:val="0"/>
      <w:marTop w:val="0"/>
      <w:marBottom w:val="0"/>
      <w:divBdr>
        <w:top w:val="none" w:sz="0" w:space="0" w:color="auto"/>
        <w:left w:val="none" w:sz="0" w:space="0" w:color="auto"/>
        <w:bottom w:val="none" w:sz="0" w:space="0" w:color="auto"/>
        <w:right w:val="none" w:sz="0" w:space="0" w:color="auto"/>
      </w:divBdr>
      <w:divsChild>
        <w:div w:id="602735111">
          <w:marLeft w:val="0"/>
          <w:marRight w:val="0"/>
          <w:marTop w:val="0"/>
          <w:marBottom w:val="0"/>
          <w:divBdr>
            <w:top w:val="none" w:sz="0" w:space="0" w:color="auto"/>
            <w:left w:val="none" w:sz="0" w:space="0" w:color="auto"/>
            <w:bottom w:val="none" w:sz="0" w:space="0" w:color="auto"/>
            <w:right w:val="none" w:sz="0" w:space="0" w:color="auto"/>
          </w:divBdr>
        </w:div>
        <w:div w:id="1031489073">
          <w:marLeft w:val="0"/>
          <w:marRight w:val="0"/>
          <w:marTop w:val="0"/>
          <w:marBottom w:val="0"/>
          <w:divBdr>
            <w:top w:val="none" w:sz="0" w:space="0" w:color="auto"/>
            <w:left w:val="none" w:sz="0" w:space="0" w:color="auto"/>
            <w:bottom w:val="none" w:sz="0" w:space="0" w:color="auto"/>
            <w:right w:val="none" w:sz="0" w:space="0" w:color="auto"/>
          </w:divBdr>
        </w:div>
        <w:div w:id="1666130844">
          <w:marLeft w:val="0"/>
          <w:marRight w:val="0"/>
          <w:marTop w:val="0"/>
          <w:marBottom w:val="0"/>
          <w:divBdr>
            <w:top w:val="none" w:sz="0" w:space="0" w:color="auto"/>
            <w:left w:val="none" w:sz="0" w:space="0" w:color="auto"/>
            <w:bottom w:val="none" w:sz="0" w:space="0" w:color="auto"/>
            <w:right w:val="none" w:sz="0" w:space="0" w:color="auto"/>
          </w:divBdr>
        </w:div>
        <w:div w:id="972369159">
          <w:marLeft w:val="0"/>
          <w:marRight w:val="0"/>
          <w:marTop w:val="0"/>
          <w:marBottom w:val="0"/>
          <w:divBdr>
            <w:top w:val="none" w:sz="0" w:space="0" w:color="auto"/>
            <w:left w:val="none" w:sz="0" w:space="0" w:color="auto"/>
            <w:bottom w:val="none" w:sz="0" w:space="0" w:color="auto"/>
            <w:right w:val="none" w:sz="0" w:space="0" w:color="auto"/>
          </w:divBdr>
        </w:div>
      </w:divsChild>
    </w:div>
    <w:div w:id="1091126226">
      <w:bodyDiv w:val="1"/>
      <w:marLeft w:val="0"/>
      <w:marRight w:val="0"/>
      <w:marTop w:val="0"/>
      <w:marBottom w:val="0"/>
      <w:divBdr>
        <w:top w:val="none" w:sz="0" w:space="0" w:color="auto"/>
        <w:left w:val="none" w:sz="0" w:space="0" w:color="auto"/>
        <w:bottom w:val="none" w:sz="0" w:space="0" w:color="auto"/>
        <w:right w:val="none" w:sz="0" w:space="0" w:color="auto"/>
      </w:divBdr>
    </w:div>
    <w:div w:id="1455096564">
      <w:bodyDiv w:val="1"/>
      <w:marLeft w:val="0"/>
      <w:marRight w:val="0"/>
      <w:marTop w:val="0"/>
      <w:marBottom w:val="0"/>
      <w:divBdr>
        <w:top w:val="none" w:sz="0" w:space="0" w:color="auto"/>
        <w:left w:val="none" w:sz="0" w:space="0" w:color="auto"/>
        <w:bottom w:val="none" w:sz="0" w:space="0" w:color="auto"/>
        <w:right w:val="none" w:sz="0" w:space="0" w:color="auto"/>
      </w:divBdr>
    </w:div>
    <w:div w:id="1455366439">
      <w:bodyDiv w:val="1"/>
      <w:marLeft w:val="0"/>
      <w:marRight w:val="0"/>
      <w:marTop w:val="0"/>
      <w:marBottom w:val="0"/>
      <w:divBdr>
        <w:top w:val="none" w:sz="0" w:space="0" w:color="auto"/>
        <w:left w:val="none" w:sz="0" w:space="0" w:color="auto"/>
        <w:bottom w:val="none" w:sz="0" w:space="0" w:color="auto"/>
        <w:right w:val="none" w:sz="0" w:space="0" w:color="auto"/>
      </w:divBdr>
    </w:div>
    <w:div w:id="15361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1969</Words>
  <Characters>11226</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Fijala" &lt;fijala@sfzg.hr&gt;</dc:creator>
  <cp:keywords/>
  <dc:description/>
  <cp:lastModifiedBy>afijala</cp:lastModifiedBy>
  <cp:revision>11</cp:revision>
  <cp:lastPrinted>2022-10-03T10:13:00Z</cp:lastPrinted>
  <dcterms:created xsi:type="dcterms:W3CDTF">2026-03-30T09:48:00Z</dcterms:created>
  <dcterms:modified xsi:type="dcterms:W3CDTF">2026-03-31T12:30:00Z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c54ce2fd-58f7-4dfc-b5f0-3257b3d24a76</vt:lpwstr>
  </property>
</Properties>
</file>